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71076" w14:textId="4BC19A29" w:rsidR="00773D89" w:rsidRPr="00463E1C" w:rsidRDefault="00463E1C" w:rsidP="00DF1180">
      <w:pPr>
        <w:jc w:val="both"/>
        <w:rPr>
          <w:rFonts w:ascii="Bookman Old Style" w:hAnsi="Bookman Old Style"/>
          <w:sz w:val="32"/>
          <w:szCs w:val="32"/>
        </w:rPr>
      </w:pPr>
      <w:r w:rsidRPr="00463E1C">
        <w:rPr>
          <w:rFonts w:ascii="Bookman Old Style" w:hAnsi="Bookman Old Style"/>
          <w:sz w:val="32"/>
          <w:szCs w:val="32"/>
        </w:rPr>
        <w:t>Accounts and Records</w:t>
      </w:r>
      <w:r w:rsidR="00B90D9C" w:rsidRPr="00463E1C">
        <w:rPr>
          <w:rFonts w:ascii="Bookman Old Style" w:hAnsi="Bookman Old Style"/>
          <w:sz w:val="32"/>
          <w:szCs w:val="32"/>
        </w:rPr>
        <w:t>:</w:t>
      </w:r>
    </w:p>
    <w:p w14:paraId="42594476" w14:textId="77777777" w:rsidR="00B90D9C" w:rsidRPr="00463E1C" w:rsidRDefault="00B90D9C" w:rsidP="00DF1180">
      <w:pPr>
        <w:jc w:val="both"/>
        <w:rPr>
          <w:rFonts w:ascii="Bookman Old Style" w:hAnsi="Bookman Old Style"/>
          <w:sz w:val="32"/>
          <w:szCs w:val="32"/>
        </w:rPr>
      </w:pPr>
    </w:p>
    <w:p w14:paraId="5BA35016" w14:textId="0FF2D399" w:rsidR="00463E1C" w:rsidRPr="00463E1C" w:rsidRDefault="00463E1C" w:rsidP="00DF1180">
      <w:pPr>
        <w:jc w:val="both"/>
        <w:rPr>
          <w:rFonts w:ascii="Bookman Old Style" w:hAnsi="Bookman Old Style"/>
          <w:sz w:val="32"/>
          <w:szCs w:val="32"/>
        </w:rPr>
      </w:pPr>
      <w:r w:rsidRPr="00463E1C">
        <w:rPr>
          <w:rFonts w:ascii="Bookman Old Style" w:hAnsi="Bookman Old Style"/>
          <w:sz w:val="32"/>
          <w:szCs w:val="32"/>
        </w:rPr>
        <w:t>What is the importance of accounts and records under GST?</w:t>
      </w:r>
    </w:p>
    <w:p w14:paraId="7BB0DDF6" w14:textId="77777777" w:rsidR="00463E1C" w:rsidRPr="00463E1C" w:rsidRDefault="00463E1C" w:rsidP="00DF1180">
      <w:pPr>
        <w:jc w:val="both"/>
        <w:rPr>
          <w:rFonts w:ascii="Bookman Old Style" w:hAnsi="Bookman Old Style"/>
          <w:sz w:val="32"/>
          <w:szCs w:val="32"/>
        </w:rPr>
      </w:pPr>
    </w:p>
    <w:p w14:paraId="42F1E51F" w14:textId="59C4DA07" w:rsidR="00463E1C" w:rsidRPr="00463E1C" w:rsidRDefault="00463E1C" w:rsidP="00463E1C">
      <w:pPr>
        <w:spacing w:after="159" w:line="250" w:lineRule="auto"/>
        <w:ind w:left="21" w:right="53" w:hanging="10"/>
        <w:jc w:val="both"/>
        <w:rPr>
          <w:rFonts w:ascii="Bookman Old Style" w:hAnsi="Bookman Old Style"/>
          <w:sz w:val="32"/>
          <w:szCs w:val="32"/>
        </w:rPr>
      </w:pPr>
      <w:r w:rsidRPr="00463E1C">
        <w:rPr>
          <w:rFonts w:ascii="Bookman Old Style" w:eastAsia="Times New Roman" w:hAnsi="Bookman Old Style" w:cs="Times New Roman"/>
          <w:color w:val="181717"/>
          <w:sz w:val="32"/>
          <w:szCs w:val="32"/>
        </w:rPr>
        <w:t xml:space="preserve">Assessment in GST is mainly focused on self-assessment by the taxpayers themselves. Every taxpayer is required to self-assess the taxes payable and furnish a return for </w:t>
      </w:r>
      <w:proofErr w:type="gramStart"/>
      <w:r w:rsidRPr="00463E1C">
        <w:rPr>
          <w:rFonts w:ascii="Bookman Old Style" w:eastAsia="Times New Roman" w:hAnsi="Bookman Old Style" w:cs="Times New Roman"/>
          <w:color w:val="181717"/>
          <w:sz w:val="32"/>
          <w:szCs w:val="32"/>
        </w:rPr>
        <w:t>specified</w:t>
      </w:r>
      <w:proofErr w:type="gramEnd"/>
      <w:r w:rsidRPr="00463E1C">
        <w:rPr>
          <w:rFonts w:ascii="Bookman Old Style" w:eastAsia="Times New Roman" w:hAnsi="Bookman Old Style" w:cs="Times New Roman"/>
          <w:color w:val="181717"/>
          <w:sz w:val="32"/>
          <w:szCs w:val="32"/>
        </w:rPr>
        <w:t xml:space="preserve"> tax periods i.e. the period for which return is required to be filed. The compliance verification is done by the department through scrutiny of returns, audit and/or investigation. Thus, compliance verification is to be done through documentary checks rather than physical controls. This requires certain obligations to be cast on the taxpayer for keeping and maintaining accounts and records. </w:t>
      </w:r>
    </w:p>
    <w:p w14:paraId="73CD268C" w14:textId="0A964C18" w:rsidR="00463E1C" w:rsidRPr="00463E1C" w:rsidRDefault="00463E1C" w:rsidP="00DF1180">
      <w:pPr>
        <w:jc w:val="both"/>
        <w:rPr>
          <w:rFonts w:ascii="Bookman Old Style" w:hAnsi="Bookman Old Style"/>
          <w:sz w:val="32"/>
          <w:szCs w:val="32"/>
        </w:rPr>
      </w:pPr>
    </w:p>
    <w:p w14:paraId="79708F5E" w14:textId="022D833C" w:rsidR="00463E1C" w:rsidRPr="00463E1C" w:rsidRDefault="00463E1C" w:rsidP="00DF1180">
      <w:pPr>
        <w:jc w:val="both"/>
        <w:rPr>
          <w:rFonts w:ascii="Bookman Old Style" w:hAnsi="Bookman Old Style"/>
          <w:sz w:val="32"/>
          <w:szCs w:val="32"/>
        </w:rPr>
      </w:pPr>
      <w:r w:rsidRPr="00463E1C">
        <w:rPr>
          <w:rFonts w:ascii="Bookman Old Style" w:hAnsi="Bookman Old Style"/>
          <w:sz w:val="32"/>
          <w:szCs w:val="32"/>
        </w:rPr>
        <w:t>Where should the books be kept or made available?</w:t>
      </w:r>
    </w:p>
    <w:p w14:paraId="149B1E6F" w14:textId="539F47C6" w:rsidR="00463E1C" w:rsidRPr="00463E1C" w:rsidRDefault="00463E1C" w:rsidP="00DF1180">
      <w:pPr>
        <w:jc w:val="both"/>
        <w:rPr>
          <w:rFonts w:ascii="Bookman Old Style" w:eastAsia="Times New Roman" w:hAnsi="Bookman Old Style" w:cs="Times New Roman"/>
          <w:color w:val="181717"/>
          <w:sz w:val="32"/>
          <w:szCs w:val="32"/>
        </w:rPr>
      </w:pPr>
      <w:r w:rsidRPr="00463E1C">
        <w:rPr>
          <w:rFonts w:ascii="Bookman Old Style" w:hAnsi="Bookman Old Style"/>
          <w:sz w:val="32"/>
          <w:szCs w:val="32"/>
        </w:rPr>
        <w:t xml:space="preserve">The law mentions that </w:t>
      </w:r>
      <w:r w:rsidRPr="00463E1C">
        <w:rPr>
          <w:rFonts w:ascii="Bookman Old Style" w:eastAsia="Times New Roman" w:hAnsi="Bookman Old Style" w:cs="Times New Roman"/>
          <w:color w:val="181717"/>
          <w:sz w:val="32"/>
          <w:szCs w:val="32"/>
        </w:rPr>
        <w:t xml:space="preserve">every registered person should keep and maintain all records at his principal place of business. It also </w:t>
      </w:r>
      <w:proofErr w:type="gramStart"/>
      <w:r w:rsidRPr="00463E1C">
        <w:rPr>
          <w:rFonts w:ascii="Bookman Old Style" w:eastAsia="Times New Roman" w:hAnsi="Bookman Old Style" w:cs="Times New Roman"/>
          <w:color w:val="181717"/>
          <w:sz w:val="32"/>
          <w:szCs w:val="32"/>
        </w:rPr>
        <w:t>cast,</w:t>
      </w:r>
      <w:proofErr w:type="gramEnd"/>
      <w:r w:rsidRPr="00463E1C">
        <w:rPr>
          <w:rFonts w:ascii="Bookman Old Style" w:eastAsia="Times New Roman" w:hAnsi="Bookman Old Style" w:cs="Times New Roman"/>
          <w:color w:val="181717"/>
          <w:sz w:val="32"/>
          <w:szCs w:val="32"/>
        </w:rPr>
        <w:t xml:space="preserve"> responsibility on owner or operator of warehouse or godown or any other place used for storage of goods and on every transporter, irrespective of whether he is a registered person or not, to maintain specified records.</w:t>
      </w:r>
    </w:p>
    <w:p w14:paraId="34BA6DBD" w14:textId="77777777" w:rsidR="00463E1C" w:rsidRPr="00463E1C" w:rsidRDefault="00463E1C" w:rsidP="00DF1180">
      <w:pPr>
        <w:jc w:val="both"/>
        <w:rPr>
          <w:rFonts w:ascii="Bookman Old Style" w:eastAsia="Times New Roman" w:hAnsi="Bookman Old Style" w:cs="Times New Roman"/>
          <w:color w:val="181717"/>
          <w:sz w:val="32"/>
          <w:szCs w:val="32"/>
        </w:rPr>
      </w:pPr>
    </w:p>
    <w:p w14:paraId="6DEEF9C7" w14:textId="7FAFE5C2" w:rsidR="00463E1C" w:rsidRPr="00463E1C" w:rsidRDefault="00463E1C" w:rsidP="00DF1180">
      <w:pPr>
        <w:jc w:val="both"/>
        <w:rPr>
          <w:rFonts w:ascii="Bookman Old Style" w:eastAsia="Times New Roman" w:hAnsi="Bookman Old Style" w:cs="Times New Roman"/>
          <w:color w:val="181717"/>
          <w:sz w:val="32"/>
          <w:szCs w:val="32"/>
        </w:rPr>
      </w:pPr>
      <w:r w:rsidRPr="00463E1C">
        <w:rPr>
          <w:rFonts w:ascii="Bookman Old Style" w:eastAsia="Times New Roman" w:hAnsi="Bookman Old Style" w:cs="Times New Roman"/>
          <w:color w:val="181717"/>
          <w:sz w:val="32"/>
          <w:szCs w:val="32"/>
        </w:rPr>
        <w:t>What records are required by law to be maintained by the dealer?</w:t>
      </w:r>
    </w:p>
    <w:p w14:paraId="2E0855D3" w14:textId="14A9C0A8" w:rsidR="00463E1C" w:rsidRPr="00463E1C" w:rsidRDefault="00463E1C" w:rsidP="00DF1180">
      <w:pPr>
        <w:jc w:val="both"/>
        <w:rPr>
          <w:rFonts w:ascii="Bookman Old Style" w:eastAsia="Times New Roman" w:hAnsi="Bookman Old Style" w:cs="Times New Roman"/>
          <w:color w:val="181717"/>
          <w:sz w:val="32"/>
          <w:szCs w:val="32"/>
        </w:rPr>
      </w:pPr>
      <w:r w:rsidRPr="00463E1C">
        <w:rPr>
          <w:rFonts w:ascii="Bookman Old Style" w:eastAsia="Times New Roman" w:hAnsi="Bookman Old Style" w:cs="Times New Roman"/>
          <w:color w:val="181717"/>
          <w:sz w:val="32"/>
          <w:szCs w:val="32"/>
        </w:rPr>
        <w:t xml:space="preserve">The following are the few that can be mentioned. </w:t>
      </w:r>
    </w:p>
    <w:p w14:paraId="63D40544" w14:textId="784CF1F5" w:rsidR="00463E1C" w:rsidRPr="00463E1C" w:rsidRDefault="00463E1C" w:rsidP="00DF1180">
      <w:pPr>
        <w:jc w:val="both"/>
        <w:rPr>
          <w:rFonts w:ascii="Bookman Old Style" w:eastAsia="Times New Roman" w:hAnsi="Bookman Old Style" w:cs="Times New Roman"/>
          <w:color w:val="181717"/>
          <w:sz w:val="32"/>
          <w:szCs w:val="32"/>
        </w:rPr>
      </w:pPr>
      <w:r w:rsidRPr="00463E1C">
        <w:rPr>
          <w:rFonts w:ascii="Bookman Old Style" w:eastAsia="Times New Roman" w:hAnsi="Bookman Old Style" w:cs="Times New Roman"/>
          <w:color w:val="181717"/>
          <w:sz w:val="32"/>
          <w:szCs w:val="32"/>
        </w:rPr>
        <w:lastRenderedPageBreak/>
        <w:t xml:space="preserve">Records related to: </w:t>
      </w:r>
    </w:p>
    <w:p w14:paraId="69686F41" w14:textId="77777777" w:rsidR="00463E1C" w:rsidRPr="00463E1C" w:rsidRDefault="00463E1C" w:rsidP="00463E1C">
      <w:pPr>
        <w:numPr>
          <w:ilvl w:val="0"/>
          <w:numId w:val="6"/>
        </w:numPr>
        <w:spacing w:after="96" w:line="250" w:lineRule="auto"/>
        <w:ind w:left="465" w:right="53" w:hanging="454"/>
        <w:jc w:val="both"/>
        <w:rPr>
          <w:rFonts w:ascii="Bookman Old Style" w:hAnsi="Bookman Old Style"/>
          <w:sz w:val="32"/>
          <w:szCs w:val="32"/>
        </w:rPr>
      </w:pPr>
      <w:r w:rsidRPr="00463E1C">
        <w:rPr>
          <w:rFonts w:ascii="Bookman Old Style" w:eastAsia="Times New Roman" w:hAnsi="Bookman Old Style" w:cs="Times New Roman"/>
          <w:color w:val="181717"/>
          <w:sz w:val="32"/>
          <w:szCs w:val="32"/>
        </w:rPr>
        <w:t>production or manufacture of goods;</w:t>
      </w:r>
    </w:p>
    <w:p w14:paraId="66810ABF" w14:textId="77777777" w:rsidR="00463E1C" w:rsidRPr="00463E1C" w:rsidRDefault="00463E1C" w:rsidP="00463E1C">
      <w:pPr>
        <w:numPr>
          <w:ilvl w:val="0"/>
          <w:numId w:val="6"/>
        </w:numPr>
        <w:spacing w:after="96" w:line="250" w:lineRule="auto"/>
        <w:ind w:left="465" w:right="53" w:hanging="454"/>
        <w:jc w:val="both"/>
        <w:rPr>
          <w:rFonts w:ascii="Bookman Old Style" w:hAnsi="Bookman Old Style"/>
          <w:sz w:val="32"/>
          <w:szCs w:val="32"/>
        </w:rPr>
      </w:pPr>
      <w:r w:rsidRPr="00463E1C">
        <w:rPr>
          <w:rFonts w:ascii="Bookman Old Style" w:eastAsia="Times New Roman" w:hAnsi="Bookman Old Style" w:cs="Times New Roman"/>
          <w:color w:val="181717"/>
          <w:sz w:val="32"/>
          <w:szCs w:val="32"/>
        </w:rPr>
        <w:t>inward and outward supply of goods or services or both;</w:t>
      </w:r>
    </w:p>
    <w:p w14:paraId="7F861E12" w14:textId="77777777" w:rsidR="00463E1C" w:rsidRPr="00463E1C" w:rsidRDefault="00463E1C" w:rsidP="00463E1C">
      <w:pPr>
        <w:numPr>
          <w:ilvl w:val="0"/>
          <w:numId w:val="6"/>
        </w:numPr>
        <w:spacing w:after="96" w:line="250" w:lineRule="auto"/>
        <w:ind w:left="465" w:right="53" w:hanging="454"/>
        <w:jc w:val="both"/>
        <w:rPr>
          <w:rFonts w:ascii="Bookman Old Style" w:hAnsi="Bookman Old Style"/>
          <w:sz w:val="32"/>
          <w:szCs w:val="32"/>
        </w:rPr>
      </w:pPr>
      <w:r w:rsidRPr="00463E1C">
        <w:rPr>
          <w:rFonts w:ascii="Bookman Old Style" w:eastAsia="Times New Roman" w:hAnsi="Bookman Old Style" w:cs="Times New Roman"/>
          <w:color w:val="181717"/>
          <w:sz w:val="32"/>
          <w:szCs w:val="32"/>
        </w:rPr>
        <w:t>stock of goods;</w:t>
      </w:r>
    </w:p>
    <w:p w14:paraId="573C8CD4" w14:textId="77777777" w:rsidR="00463E1C" w:rsidRPr="00463E1C" w:rsidRDefault="00463E1C" w:rsidP="00463E1C">
      <w:pPr>
        <w:numPr>
          <w:ilvl w:val="0"/>
          <w:numId w:val="6"/>
        </w:numPr>
        <w:spacing w:after="96" w:line="250" w:lineRule="auto"/>
        <w:ind w:left="465" w:right="53" w:hanging="454"/>
        <w:jc w:val="both"/>
        <w:rPr>
          <w:rFonts w:ascii="Bookman Old Style" w:hAnsi="Bookman Old Style"/>
          <w:sz w:val="32"/>
          <w:szCs w:val="32"/>
        </w:rPr>
      </w:pPr>
      <w:r w:rsidRPr="00463E1C">
        <w:rPr>
          <w:rFonts w:ascii="Bookman Old Style" w:eastAsia="Times New Roman" w:hAnsi="Bookman Old Style" w:cs="Times New Roman"/>
          <w:color w:val="181717"/>
          <w:sz w:val="32"/>
          <w:szCs w:val="32"/>
        </w:rPr>
        <w:t>input tax credit availed;</w:t>
      </w:r>
    </w:p>
    <w:p w14:paraId="48F37742" w14:textId="77777777" w:rsidR="00463E1C" w:rsidRPr="00463E1C" w:rsidRDefault="00463E1C" w:rsidP="00463E1C">
      <w:pPr>
        <w:numPr>
          <w:ilvl w:val="0"/>
          <w:numId w:val="6"/>
        </w:numPr>
        <w:spacing w:after="96" w:line="250" w:lineRule="auto"/>
        <w:ind w:left="465" w:right="53" w:hanging="454"/>
        <w:jc w:val="both"/>
        <w:rPr>
          <w:rFonts w:ascii="Bookman Old Style" w:hAnsi="Bookman Old Style"/>
          <w:sz w:val="32"/>
          <w:szCs w:val="32"/>
        </w:rPr>
      </w:pPr>
      <w:r w:rsidRPr="00463E1C">
        <w:rPr>
          <w:rFonts w:ascii="Bookman Old Style" w:eastAsia="Times New Roman" w:hAnsi="Bookman Old Style" w:cs="Times New Roman"/>
          <w:color w:val="181717"/>
          <w:sz w:val="32"/>
          <w:szCs w:val="32"/>
        </w:rPr>
        <w:t>output tax payable and paid; and</w:t>
      </w:r>
    </w:p>
    <w:p w14:paraId="3F32FB70" w14:textId="77777777" w:rsidR="00463E1C" w:rsidRPr="00463E1C" w:rsidRDefault="00463E1C" w:rsidP="00463E1C">
      <w:pPr>
        <w:numPr>
          <w:ilvl w:val="0"/>
          <w:numId w:val="6"/>
        </w:numPr>
        <w:spacing w:after="159" w:line="250" w:lineRule="auto"/>
        <w:ind w:left="465" w:right="53" w:hanging="454"/>
        <w:jc w:val="both"/>
        <w:rPr>
          <w:rFonts w:ascii="Bookman Old Style" w:hAnsi="Bookman Old Style"/>
          <w:sz w:val="32"/>
          <w:szCs w:val="32"/>
        </w:rPr>
      </w:pPr>
      <w:r w:rsidRPr="00463E1C">
        <w:rPr>
          <w:rFonts w:ascii="Bookman Old Style" w:eastAsia="Times New Roman" w:hAnsi="Bookman Old Style" w:cs="Times New Roman"/>
          <w:color w:val="181717"/>
          <w:sz w:val="32"/>
          <w:szCs w:val="32"/>
        </w:rPr>
        <w:t>such other particulars as may be prescribed.</w:t>
      </w:r>
    </w:p>
    <w:p w14:paraId="1B40AFCB" w14:textId="77777777" w:rsidR="00463E1C" w:rsidRPr="00463E1C" w:rsidRDefault="00463E1C" w:rsidP="00463E1C">
      <w:pPr>
        <w:numPr>
          <w:ilvl w:val="0"/>
          <w:numId w:val="6"/>
        </w:numPr>
        <w:spacing w:after="96" w:line="250" w:lineRule="auto"/>
        <w:ind w:right="53" w:hanging="454"/>
        <w:jc w:val="both"/>
        <w:rPr>
          <w:rFonts w:ascii="Bookman Old Style" w:hAnsi="Bookman Old Style"/>
          <w:sz w:val="32"/>
          <w:szCs w:val="32"/>
        </w:rPr>
      </w:pPr>
      <w:r w:rsidRPr="00463E1C">
        <w:rPr>
          <w:rFonts w:ascii="Bookman Old Style" w:eastAsia="Times New Roman" w:hAnsi="Bookman Old Style" w:cs="Times New Roman"/>
          <w:color w:val="181717"/>
          <w:sz w:val="32"/>
          <w:szCs w:val="32"/>
        </w:rPr>
        <w:t>goods or services imported or exported; or</w:t>
      </w:r>
    </w:p>
    <w:p w14:paraId="6A44B88A" w14:textId="3896474B" w:rsidR="00463E1C" w:rsidRPr="00463E1C" w:rsidRDefault="00463E1C" w:rsidP="00DF1180">
      <w:pPr>
        <w:numPr>
          <w:ilvl w:val="0"/>
          <w:numId w:val="6"/>
        </w:numPr>
        <w:spacing w:after="159" w:line="250" w:lineRule="auto"/>
        <w:ind w:right="53" w:hanging="454"/>
        <w:jc w:val="both"/>
        <w:rPr>
          <w:rFonts w:ascii="Bookman Old Style" w:hAnsi="Bookman Old Style"/>
          <w:sz w:val="32"/>
          <w:szCs w:val="32"/>
        </w:rPr>
      </w:pPr>
      <w:r w:rsidRPr="00463E1C">
        <w:rPr>
          <w:rFonts w:ascii="Bookman Old Style" w:eastAsia="Times New Roman" w:hAnsi="Bookman Old Style" w:cs="Times New Roman"/>
          <w:color w:val="181717"/>
          <w:sz w:val="32"/>
          <w:szCs w:val="32"/>
        </w:rPr>
        <w:t>supplies attracting payment of tax on reverse charge along with relevant documents, including invoices, bills of supply, delivery challans, credit notes, debit notes, receipt vouchers, payment vouchers, refund vouchers and e-way bills.</w:t>
      </w:r>
    </w:p>
    <w:p w14:paraId="18D03C0B" w14:textId="77777777" w:rsidR="00463E1C" w:rsidRPr="00463E1C" w:rsidRDefault="00463E1C" w:rsidP="00463E1C">
      <w:pPr>
        <w:spacing w:after="159" w:line="250" w:lineRule="auto"/>
        <w:ind w:left="10" w:right="53"/>
        <w:jc w:val="both"/>
        <w:rPr>
          <w:rFonts w:ascii="Bookman Old Style" w:hAnsi="Bookman Old Style"/>
          <w:sz w:val="32"/>
          <w:szCs w:val="32"/>
        </w:rPr>
      </w:pPr>
    </w:p>
    <w:p w14:paraId="0BAFAC22" w14:textId="242092FB" w:rsidR="00463E1C" w:rsidRPr="00463E1C" w:rsidRDefault="00463E1C" w:rsidP="00463E1C">
      <w:pPr>
        <w:spacing w:after="159" w:line="250" w:lineRule="auto"/>
        <w:ind w:left="10" w:right="53"/>
        <w:jc w:val="both"/>
        <w:rPr>
          <w:rFonts w:ascii="Bookman Old Style" w:hAnsi="Bookman Old Style"/>
          <w:sz w:val="32"/>
          <w:szCs w:val="32"/>
        </w:rPr>
      </w:pPr>
      <w:r w:rsidRPr="00463E1C">
        <w:rPr>
          <w:rFonts w:ascii="Bookman Old Style" w:hAnsi="Bookman Old Style"/>
          <w:sz w:val="32"/>
          <w:szCs w:val="32"/>
        </w:rPr>
        <w:t>All these records can be maintained in electronic form as well.</w:t>
      </w:r>
    </w:p>
    <w:p w14:paraId="4E673783" w14:textId="77777777" w:rsidR="00463E1C" w:rsidRPr="00463E1C" w:rsidRDefault="00463E1C" w:rsidP="00463E1C">
      <w:pPr>
        <w:spacing w:after="159" w:line="250" w:lineRule="auto"/>
        <w:ind w:left="10" w:right="53"/>
        <w:jc w:val="both"/>
        <w:rPr>
          <w:rFonts w:ascii="Bookman Old Style" w:hAnsi="Bookman Old Style"/>
          <w:sz w:val="32"/>
          <w:szCs w:val="32"/>
        </w:rPr>
      </w:pPr>
    </w:p>
    <w:p w14:paraId="3F2897B5" w14:textId="77777777" w:rsidR="00463E1C" w:rsidRPr="00463E1C" w:rsidRDefault="00463E1C" w:rsidP="00463E1C">
      <w:pPr>
        <w:spacing w:after="159" w:line="250" w:lineRule="auto"/>
        <w:ind w:left="10" w:right="53"/>
        <w:jc w:val="both"/>
        <w:rPr>
          <w:rFonts w:ascii="Bookman Old Style" w:hAnsi="Bookman Old Style"/>
          <w:sz w:val="32"/>
          <w:szCs w:val="32"/>
        </w:rPr>
      </w:pPr>
    </w:p>
    <w:p w14:paraId="1C945871" w14:textId="6A536C8D" w:rsidR="00463E1C" w:rsidRPr="00463E1C" w:rsidRDefault="00463E1C" w:rsidP="00463E1C">
      <w:pPr>
        <w:spacing w:after="159" w:line="250" w:lineRule="auto"/>
        <w:ind w:left="10" w:right="53"/>
        <w:jc w:val="both"/>
        <w:rPr>
          <w:rFonts w:ascii="Bookman Old Style" w:hAnsi="Bookman Old Style"/>
          <w:sz w:val="32"/>
          <w:szCs w:val="32"/>
        </w:rPr>
      </w:pPr>
      <w:r w:rsidRPr="00463E1C">
        <w:rPr>
          <w:rFonts w:ascii="Bookman Old Style" w:hAnsi="Bookman Old Style"/>
          <w:sz w:val="32"/>
          <w:szCs w:val="32"/>
        </w:rPr>
        <w:t>Can I Keep other entity’s records in my premises?</w:t>
      </w:r>
    </w:p>
    <w:p w14:paraId="29CDDC80" w14:textId="52BB8524" w:rsidR="00463E1C" w:rsidRPr="00463E1C" w:rsidRDefault="00463E1C" w:rsidP="00463E1C">
      <w:pPr>
        <w:spacing w:after="159" w:line="250" w:lineRule="auto"/>
        <w:ind w:left="10" w:right="53"/>
        <w:jc w:val="both"/>
        <w:rPr>
          <w:rFonts w:ascii="Bookman Old Style" w:hAnsi="Bookman Old Style"/>
          <w:sz w:val="32"/>
          <w:szCs w:val="32"/>
        </w:rPr>
      </w:pPr>
      <w:r w:rsidRPr="00463E1C">
        <w:rPr>
          <w:rFonts w:ascii="Bookman Old Style" w:hAnsi="Bookman Old Style"/>
          <w:sz w:val="32"/>
          <w:szCs w:val="32"/>
        </w:rPr>
        <w:t xml:space="preserve">One may do that but be aware that: </w:t>
      </w:r>
    </w:p>
    <w:p w14:paraId="758AD1BA" w14:textId="699CC25B" w:rsidR="00463E1C" w:rsidRPr="00463E1C" w:rsidRDefault="00463E1C" w:rsidP="00463E1C">
      <w:pPr>
        <w:spacing w:after="159" w:line="250" w:lineRule="auto"/>
        <w:ind w:left="10" w:right="53"/>
        <w:jc w:val="both"/>
        <w:rPr>
          <w:rFonts w:ascii="Bookman Old Style" w:hAnsi="Bookman Old Style"/>
          <w:sz w:val="32"/>
          <w:szCs w:val="32"/>
        </w:rPr>
      </w:pPr>
      <w:r w:rsidRPr="00463E1C">
        <w:rPr>
          <w:rFonts w:ascii="Bookman Old Style" w:eastAsia="Times New Roman" w:hAnsi="Bookman Old Style" w:cs="Times New Roman"/>
          <w:color w:val="181717"/>
          <w:sz w:val="32"/>
          <w:szCs w:val="32"/>
        </w:rPr>
        <w:t>Unless proved otherwise, if any documents, registers, or any books of account belonging to a registered person are found at any premises other than those mentioned in the certificate of registration, they shall be presumed to be maintained by the said registered person.</w:t>
      </w:r>
    </w:p>
    <w:p w14:paraId="48663F56" w14:textId="77777777" w:rsidR="00463E1C" w:rsidRPr="00463E1C" w:rsidRDefault="00463E1C" w:rsidP="00DF1180">
      <w:pPr>
        <w:jc w:val="both"/>
        <w:rPr>
          <w:rFonts w:ascii="Bookman Old Style" w:eastAsia="Times New Roman" w:hAnsi="Bookman Old Style" w:cs="Times New Roman"/>
          <w:color w:val="181717"/>
          <w:sz w:val="32"/>
          <w:szCs w:val="32"/>
        </w:rPr>
      </w:pPr>
    </w:p>
    <w:p w14:paraId="1B44F72D" w14:textId="07B52DB3" w:rsidR="00463E1C" w:rsidRPr="00463E1C" w:rsidRDefault="00463E1C" w:rsidP="00DF1180">
      <w:pPr>
        <w:jc w:val="both"/>
        <w:rPr>
          <w:rFonts w:ascii="Bookman Old Style" w:eastAsia="Times New Roman" w:hAnsi="Bookman Old Style" w:cs="Times New Roman"/>
          <w:color w:val="181717"/>
          <w:sz w:val="32"/>
          <w:szCs w:val="32"/>
        </w:rPr>
      </w:pPr>
      <w:r w:rsidRPr="00463E1C">
        <w:rPr>
          <w:rFonts w:ascii="Bookman Old Style" w:eastAsia="Times New Roman" w:hAnsi="Bookman Old Style" w:cs="Times New Roman"/>
          <w:color w:val="181717"/>
          <w:sz w:val="32"/>
          <w:szCs w:val="32"/>
        </w:rPr>
        <w:t>For how long I must keep the books with me?</w:t>
      </w:r>
    </w:p>
    <w:p w14:paraId="5DD9067A" w14:textId="77777777" w:rsidR="00463E1C" w:rsidRPr="00463E1C" w:rsidRDefault="00463E1C" w:rsidP="00463E1C">
      <w:pPr>
        <w:spacing w:after="159" w:line="250" w:lineRule="auto"/>
        <w:ind w:right="53"/>
        <w:jc w:val="both"/>
        <w:rPr>
          <w:rFonts w:ascii="Bookman Old Style" w:eastAsia="Times New Roman" w:hAnsi="Bookman Old Style" w:cs="Times New Roman"/>
          <w:color w:val="181717"/>
          <w:sz w:val="32"/>
          <w:szCs w:val="32"/>
        </w:rPr>
      </w:pPr>
    </w:p>
    <w:p w14:paraId="046449B5" w14:textId="460EC321" w:rsidR="00463E1C" w:rsidRPr="00463E1C" w:rsidRDefault="00463E1C" w:rsidP="00463E1C">
      <w:pPr>
        <w:spacing w:after="159" w:line="250" w:lineRule="auto"/>
        <w:ind w:right="53"/>
        <w:jc w:val="both"/>
        <w:rPr>
          <w:rFonts w:ascii="Bookman Old Style" w:hAnsi="Bookman Old Style"/>
          <w:sz w:val="32"/>
          <w:szCs w:val="32"/>
        </w:rPr>
      </w:pPr>
      <w:r w:rsidRPr="00463E1C">
        <w:rPr>
          <w:rFonts w:ascii="Bookman Old Style" w:eastAsia="Times New Roman" w:hAnsi="Bookman Old Style" w:cs="Times New Roman"/>
          <w:color w:val="181717"/>
          <w:sz w:val="32"/>
          <w:szCs w:val="32"/>
        </w:rPr>
        <w:t xml:space="preserve">Under the GST law, All accounts maintained together with all invoices, bills of supply, credit and debit notes, and delivery challans relating to stocks, deliveries, inward supply and outward supply shall be preserved for seventy two months (six years) from the due date of furnishing of annual return for the year pertaining to such accounts and records and shall be kept at every related place of business mentioned in the certificate of registration. </w:t>
      </w:r>
    </w:p>
    <w:p w14:paraId="48DFDD93" w14:textId="166C6964" w:rsidR="00463E1C" w:rsidRPr="00463E1C" w:rsidRDefault="00463E1C" w:rsidP="00DF1180">
      <w:pPr>
        <w:jc w:val="both"/>
        <w:rPr>
          <w:rFonts w:ascii="Bookman Old Style" w:eastAsia="Times New Roman" w:hAnsi="Bookman Old Style" w:cs="Times New Roman"/>
          <w:color w:val="181717"/>
          <w:sz w:val="32"/>
          <w:szCs w:val="32"/>
        </w:rPr>
      </w:pPr>
    </w:p>
    <w:p w14:paraId="6FD41436" w14:textId="63866B7F" w:rsidR="00463E1C" w:rsidRPr="00463E1C" w:rsidRDefault="00463E1C" w:rsidP="00DF1180">
      <w:pPr>
        <w:jc w:val="both"/>
        <w:rPr>
          <w:rFonts w:ascii="Bookman Old Style" w:hAnsi="Bookman Old Style"/>
          <w:sz w:val="32"/>
          <w:szCs w:val="32"/>
        </w:rPr>
      </w:pPr>
      <w:r w:rsidRPr="00463E1C">
        <w:rPr>
          <w:rFonts w:ascii="Bookman Old Style" w:hAnsi="Bookman Old Style"/>
          <w:sz w:val="32"/>
          <w:szCs w:val="32"/>
        </w:rPr>
        <w:t xml:space="preserve">What if there </w:t>
      </w:r>
      <w:proofErr w:type="gramStart"/>
      <w:r w:rsidRPr="00463E1C">
        <w:rPr>
          <w:rFonts w:ascii="Bookman Old Style" w:hAnsi="Bookman Old Style"/>
          <w:sz w:val="32"/>
          <w:szCs w:val="32"/>
        </w:rPr>
        <w:t>are any appeal</w:t>
      </w:r>
      <w:proofErr w:type="gramEnd"/>
      <w:r w:rsidRPr="00463E1C">
        <w:rPr>
          <w:rFonts w:ascii="Bookman Old Style" w:hAnsi="Bookman Old Style"/>
          <w:sz w:val="32"/>
          <w:szCs w:val="32"/>
        </w:rPr>
        <w:t xml:space="preserve"> or other proceedings still on?</w:t>
      </w:r>
    </w:p>
    <w:p w14:paraId="6A878807" w14:textId="77777777" w:rsidR="00463E1C" w:rsidRPr="00463E1C" w:rsidRDefault="00463E1C" w:rsidP="00DF1180">
      <w:pPr>
        <w:jc w:val="both"/>
        <w:rPr>
          <w:rFonts w:ascii="Bookman Old Style" w:hAnsi="Bookman Old Style"/>
          <w:sz w:val="32"/>
          <w:szCs w:val="32"/>
        </w:rPr>
      </w:pPr>
    </w:p>
    <w:p w14:paraId="4228DD3D" w14:textId="77777777" w:rsidR="00463E1C" w:rsidRPr="00463E1C" w:rsidRDefault="00463E1C" w:rsidP="00463E1C">
      <w:pPr>
        <w:spacing w:after="482" w:line="250" w:lineRule="auto"/>
        <w:ind w:right="53"/>
        <w:jc w:val="both"/>
        <w:rPr>
          <w:rFonts w:ascii="Bookman Old Style" w:hAnsi="Bookman Old Style"/>
          <w:sz w:val="32"/>
          <w:szCs w:val="32"/>
        </w:rPr>
      </w:pPr>
      <w:r w:rsidRPr="00463E1C">
        <w:rPr>
          <w:rFonts w:ascii="Bookman Old Style" w:hAnsi="Bookman Old Style"/>
          <w:sz w:val="32"/>
          <w:szCs w:val="32"/>
        </w:rPr>
        <w:t xml:space="preserve">The law provides that: </w:t>
      </w:r>
      <w:r w:rsidRPr="00463E1C">
        <w:rPr>
          <w:rFonts w:ascii="Bookman Old Style" w:eastAsia="Times New Roman" w:hAnsi="Bookman Old Style" w:cs="Times New Roman"/>
          <w:color w:val="181717"/>
          <w:sz w:val="32"/>
          <w:szCs w:val="32"/>
        </w:rPr>
        <w:t>A registered person, who is a party to an appeal or revision or any other proceedings whether filed by him or by the Commissioner, or is under investigation for an offence, has to retain the records pertaining to the subject matter of such appeal or revision or proceedings or investigation for a period of one year after final disposal of such appeal or revision or proceedings or investigation, or for the period specified above (seventy-two months), whichever is later.</w:t>
      </w:r>
    </w:p>
    <w:p w14:paraId="3102F361" w14:textId="34BC437B" w:rsidR="00463E1C" w:rsidRDefault="00463E1C" w:rsidP="00DF1180">
      <w:pPr>
        <w:jc w:val="both"/>
        <w:rPr>
          <w:rFonts w:ascii="Bookman Old Style" w:hAnsi="Bookman Old Style"/>
          <w:sz w:val="32"/>
          <w:szCs w:val="32"/>
        </w:rPr>
      </w:pPr>
    </w:p>
    <w:p w14:paraId="71DDB35F" w14:textId="77777777" w:rsidR="00800A91" w:rsidRDefault="00800A91" w:rsidP="00DF1180">
      <w:pPr>
        <w:jc w:val="both"/>
        <w:rPr>
          <w:rFonts w:ascii="Bookman Old Style" w:hAnsi="Bookman Old Style"/>
          <w:sz w:val="32"/>
          <w:szCs w:val="32"/>
        </w:rPr>
      </w:pPr>
    </w:p>
    <w:p w14:paraId="613749C8" w14:textId="77777777" w:rsidR="00800A91" w:rsidRDefault="00800A91" w:rsidP="00DF1180">
      <w:pPr>
        <w:jc w:val="both"/>
        <w:rPr>
          <w:rFonts w:ascii="Bookman Old Style" w:hAnsi="Bookman Old Style"/>
          <w:sz w:val="32"/>
          <w:szCs w:val="32"/>
        </w:rPr>
      </w:pPr>
    </w:p>
    <w:p w14:paraId="21166AAE" w14:textId="77777777" w:rsidR="00800A91" w:rsidRDefault="00800A91" w:rsidP="00DF1180">
      <w:pPr>
        <w:jc w:val="both"/>
        <w:rPr>
          <w:rFonts w:ascii="Bookman Old Style" w:hAnsi="Bookman Old Style"/>
          <w:sz w:val="32"/>
          <w:szCs w:val="32"/>
        </w:rPr>
      </w:pPr>
      <w:bookmarkStart w:id="0" w:name="_GoBack"/>
      <w:bookmarkEnd w:id="0"/>
    </w:p>
    <w:p w14:paraId="740753B3" w14:textId="77777777" w:rsidR="00800A91" w:rsidRDefault="00800A91" w:rsidP="00DF1180">
      <w:pPr>
        <w:jc w:val="both"/>
        <w:rPr>
          <w:rFonts w:ascii="Bookman Old Style" w:hAnsi="Bookman Old Style"/>
          <w:sz w:val="32"/>
          <w:szCs w:val="32"/>
        </w:rPr>
      </w:pPr>
    </w:p>
    <w:p w14:paraId="5822E699" w14:textId="77777777" w:rsidR="00800A91" w:rsidRDefault="00800A91" w:rsidP="00DF1180">
      <w:pPr>
        <w:jc w:val="both"/>
        <w:rPr>
          <w:rFonts w:ascii="Bookman Old Style" w:hAnsi="Bookman Old Style"/>
          <w:sz w:val="32"/>
          <w:szCs w:val="32"/>
        </w:rPr>
      </w:pPr>
    </w:p>
    <w:p w14:paraId="47D8E7C4" w14:textId="77777777" w:rsidR="00800A91" w:rsidRDefault="00800A91" w:rsidP="00800A91">
      <w:pPr>
        <w:pStyle w:val="Heading3"/>
      </w:pPr>
      <w:r>
        <w:rPr>
          <w:rStyle w:val="Emphasis"/>
        </w:rPr>
        <w:lastRenderedPageBreak/>
        <w:t>Accounts and Records under GST</w:t>
      </w:r>
    </w:p>
    <w:p w14:paraId="67401701" w14:textId="77777777" w:rsidR="00800A91" w:rsidRDefault="00800A91" w:rsidP="00800A91">
      <w:r>
        <w:pict w14:anchorId="26B0CE1B">
          <v:rect id="_x0000_i1025" style="width:0;height:1.5pt" o:hralign="center" o:hrstd="t" o:hr="t" fillcolor="#a0a0a0" stroked="f"/>
        </w:pict>
      </w:r>
    </w:p>
    <w:p w14:paraId="20BF622C" w14:textId="77777777" w:rsidR="00800A91" w:rsidRDefault="00800A91" w:rsidP="00800A91">
      <w:pPr>
        <w:pStyle w:val="Heading4"/>
      </w:pPr>
      <w:r>
        <w:rPr>
          <w:rStyle w:val="Emphasis"/>
        </w:rPr>
        <w:t>Importance of Accounts and Records</w:t>
      </w:r>
    </w:p>
    <w:p w14:paraId="6925FF88" w14:textId="77777777" w:rsidR="00800A91" w:rsidRDefault="00800A91" w:rsidP="00800A91">
      <w:pPr>
        <w:spacing w:before="100" w:beforeAutospacing="1" w:after="100" w:afterAutospacing="1"/>
      </w:pPr>
      <w:r>
        <w:t xml:space="preserve">Assessment under the GST framework primarily relies on </w:t>
      </w:r>
      <w:r>
        <w:rPr>
          <w:rStyle w:val="Strong"/>
        </w:rPr>
        <w:t>self-assessment</w:t>
      </w:r>
      <w:r>
        <w:t xml:space="preserve"> by taxpayers. Each registered taxpayer is responsible for:</w:t>
      </w:r>
    </w:p>
    <w:p w14:paraId="71C90488" w14:textId="77777777" w:rsidR="00800A91" w:rsidRDefault="00800A91" w:rsidP="00800A91">
      <w:pPr>
        <w:numPr>
          <w:ilvl w:val="0"/>
          <w:numId w:val="9"/>
        </w:numPr>
        <w:spacing w:before="100" w:beforeAutospacing="1" w:after="100" w:afterAutospacing="1" w:line="240" w:lineRule="auto"/>
      </w:pPr>
      <w:r>
        <w:t>Determining the correct tax liability</w:t>
      </w:r>
    </w:p>
    <w:p w14:paraId="47BFC679" w14:textId="77777777" w:rsidR="00800A91" w:rsidRDefault="00800A91" w:rsidP="00800A91">
      <w:pPr>
        <w:numPr>
          <w:ilvl w:val="0"/>
          <w:numId w:val="9"/>
        </w:numPr>
        <w:spacing w:before="100" w:beforeAutospacing="1" w:after="100" w:afterAutospacing="1" w:line="240" w:lineRule="auto"/>
      </w:pPr>
      <w:r>
        <w:t>Filing periodic returns accordingly</w:t>
      </w:r>
    </w:p>
    <w:p w14:paraId="232DED8B" w14:textId="77777777" w:rsidR="00800A91" w:rsidRDefault="00800A91" w:rsidP="00800A91">
      <w:pPr>
        <w:spacing w:before="100" w:beforeAutospacing="1" w:after="100" w:afterAutospacing="1"/>
      </w:pPr>
      <w:r>
        <w:rPr>
          <w:rStyle w:val="Strong"/>
        </w:rPr>
        <w:t>Compliance verification</w:t>
      </w:r>
      <w:r>
        <w:t xml:space="preserve"> by tax authorities is carried out through:</w:t>
      </w:r>
    </w:p>
    <w:p w14:paraId="33FEC251" w14:textId="77777777" w:rsidR="00800A91" w:rsidRDefault="00800A91" w:rsidP="00800A91">
      <w:pPr>
        <w:numPr>
          <w:ilvl w:val="0"/>
          <w:numId w:val="10"/>
        </w:numPr>
        <w:spacing w:before="100" w:beforeAutospacing="1" w:after="100" w:afterAutospacing="1" w:line="240" w:lineRule="auto"/>
      </w:pPr>
      <w:r>
        <w:rPr>
          <w:rStyle w:val="Strong"/>
        </w:rPr>
        <w:t>Scrutiny of returns</w:t>
      </w:r>
    </w:p>
    <w:p w14:paraId="4F716894" w14:textId="77777777" w:rsidR="00800A91" w:rsidRDefault="00800A91" w:rsidP="00800A91">
      <w:pPr>
        <w:numPr>
          <w:ilvl w:val="0"/>
          <w:numId w:val="10"/>
        </w:numPr>
        <w:spacing w:before="100" w:beforeAutospacing="1" w:after="100" w:afterAutospacing="1" w:line="240" w:lineRule="auto"/>
      </w:pPr>
      <w:r>
        <w:rPr>
          <w:rStyle w:val="Strong"/>
        </w:rPr>
        <w:t>Audit</w:t>
      </w:r>
    </w:p>
    <w:p w14:paraId="4CC5D6B9" w14:textId="77777777" w:rsidR="00800A91" w:rsidRDefault="00800A91" w:rsidP="00800A91">
      <w:pPr>
        <w:numPr>
          <w:ilvl w:val="0"/>
          <w:numId w:val="10"/>
        </w:numPr>
        <w:spacing w:before="100" w:beforeAutospacing="1" w:after="100" w:afterAutospacing="1" w:line="240" w:lineRule="auto"/>
      </w:pPr>
      <w:r>
        <w:rPr>
          <w:rStyle w:val="Strong"/>
        </w:rPr>
        <w:t>Investigation</w:t>
      </w:r>
    </w:p>
    <w:p w14:paraId="5CCB52B1" w14:textId="77777777" w:rsidR="00800A91" w:rsidRDefault="00800A91" w:rsidP="00800A91">
      <w:pPr>
        <w:spacing w:before="100" w:beforeAutospacing="1" w:after="100" w:afterAutospacing="1"/>
      </w:pPr>
      <w:r>
        <w:t xml:space="preserve">As there is minimal physical control, </w:t>
      </w:r>
      <w:r>
        <w:rPr>
          <w:rStyle w:val="Strong"/>
        </w:rPr>
        <w:t>documentary evidence becomes essential</w:t>
      </w:r>
      <w:r>
        <w:t xml:space="preserve"> for verification, placing a clear obligation on taxpayers to </w:t>
      </w:r>
      <w:r>
        <w:rPr>
          <w:rStyle w:val="Strong"/>
        </w:rPr>
        <w:t>maintain accurate and complete accounts and records</w:t>
      </w:r>
      <w:r>
        <w:t>.</w:t>
      </w:r>
    </w:p>
    <w:p w14:paraId="7F30482F" w14:textId="77777777" w:rsidR="00800A91" w:rsidRDefault="00800A91" w:rsidP="00800A91">
      <w:pPr>
        <w:spacing w:after="0"/>
      </w:pPr>
      <w:r>
        <w:pict w14:anchorId="67DFA9F6">
          <v:rect id="_x0000_i1026" style="width:0;height:1.5pt" o:hralign="center" o:hrstd="t" o:hr="t" fillcolor="#a0a0a0" stroked="f"/>
        </w:pict>
      </w:r>
    </w:p>
    <w:p w14:paraId="7A4E24E3" w14:textId="77777777" w:rsidR="00800A91" w:rsidRDefault="00800A91" w:rsidP="00800A91">
      <w:pPr>
        <w:pStyle w:val="Heading4"/>
      </w:pPr>
      <w:r>
        <w:rPr>
          <w:rStyle w:val="Emphasis"/>
        </w:rPr>
        <w:t>Location for Maintaining Records</w:t>
      </w:r>
    </w:p>
    <w:p w14:paraId="22EA155F" w14:textId="77777777" w:rsidR="00800A91" w:rsidRDefault="00800A91" w:rsidP="00800A91">
      <w:pPr>
        <w:spacing w:before="100" w:beforeAutospacing="1" w:after="100" w:afterAutospacing="1"/>
      </w:pPr>
      <w:r>
        <w:t>As per GST law:</w:t>
      </w:r>
    </w:p>
    <w:p w14:paraId="0942AF90" w14:textId="77777777" w:rsidR="00800A91" w:rsidRDefault="00800A91" w:rsidP="00800A91">
      <w:pPr>
        <w:numPr>
          <w:ilvl w:val="0"/>
          <w:numId w:val="11"/>
        </w:numPr>
        <w:spacing w:before="100" w:beforeAutospacing="1" w:after="100" w:afterAutospacing="1" w:line="240" w:lineRule="auto"/>
      </w:pPr>
      <w:r>
        <w:t xml:space="preserve">Every </w:t>
      </w:r>
      <w:r>
        <w:rPr>
          <w:rStyle w:val="Strong"/>
        </w:rPr>
        <w:t>registered person</w:t>
      </w:r>
      <w:r>
        <w:t xml:space="preserve"> must keep and maintain prescribed records at the </w:t>
      </w:r>
      <w:r>
        <w:rPr>
          <w:rStyle w:val="Strong"/>
        </w:rPr>
        <w:t>principal place of business</w:t>
      </w:r>
      <w:r>
        <w:t xml:space="preserve"> as mentioned in their registration certificate.</w:t>
      </w:r>
    </w:p>
    <w:p w14:paraId="5E55D6D1" w14:textId="77777777" w:rsidR="00800A91" w:rsidRDefault="00800A91" w:rsidP="00800A91">
      <w:pPr>
        <w:numPr>
          <w:ilvl w:val="0"/>
          <w:numId w:val="11"/>
        </w:numPr>
        <w:spacing w:before="100" w:beforeAutospacing="1" w:after="100" w:afterAutospacing="1" w:line="240" w:lineRule="auto"/>
      </w:pPr>
      <w:r>
        <w:t xml:space="preserve">Additionally, </w:t>
      </w:r>
      <w:r>
        <w:rPr>
          <w:rStyle w:val="Strong"/>
        </w:rPr>
        <w:t>owners or operators of warehouses/</w:t>
      </w:r>
      <w:proofErr w:type="spellStart"/>
      <w:r>
        <w:rPr>
          <w:rStyle w:val="Strong"/>
        </w:rPr>
        <w:t>godowns</w:t>
      </w:r>
      <w:proofErr w:type="spellEnd"/>
      <w:r>
        <w:t xml:space="preserve"> and </w:t>
      </w:r>
      <w:r>
        <w:rPr>
          <w:rStyle w:val="Strong"/>
        </w:rPr>
        <w:t>transporters</w:t>
      </w:r>
      <w:r>
        <w:t xml:space="preserve"> (registered or unregistered) are required to maintain specific records for the goods stored or transported.</w:t>
      </w:r>
    </w:p>
    <w:p w14:paraId="1E1EEFE9" w14:textId="77777777" w:rsidR="00800A91" w:rsidRDefault="00800A91" w:rsidP="00800A91">
      <w:pPr>
        <w:spacing w:after="0"/>
      </w:pPr>
      <w:r>
        <w:pict w14:anchorId="0A883F80">
          <v:rect id="_x0000_i1027" style="width:0;height:1.5pt" o:hralign="center" o:hrstd="t" o:hr="t" fillcolor="#a0a0a0" stroked="f"/>
        </w:pict>
      </w:r>
    </w:p>
    <w:p w14:paraId="23E68B46" w14:textId="77777777" w:rsidR="00800A91" w:rsidRDefault="00800A91" w:rsidP="00800A91">
      <w:pPr>
        <w:pStyle w:val="Heading4"/>
      </w:pPr>
      <w:r>
        <w:rPr>
          <w:rStyle w:val="Emphasis"/>
        </w:rPr>
        <w:t xml:space="preserve">Mandatory Records to be </w:t>
      </w:r>
      <w:proofErr w:type="gramStart"/>
      <w:r>
        <w:rPr>
          <w:rStyle w:val="Emphasis"/>
        </w:rPr>
        <w:t>Maintained</w:t>
      </w:r>
      <w:proofErr w:type="gramEnd"/>
    </w:p>
    <w:p w14:paraId="5E79B6CC" w14:textId="77777777" w:rsidR="00800A91" w:rsidRDefault="00800A91" w:rsidP="00800A91">
      <w:pPr>
        <w:spacing w:before="100" w:beforeAutospacing="1" w:after="100" w:afterAutospacing="1"/>
      </w:pPr>
      <w:r>
        <w:t>Every registered dealer must maintain the following categories of records:</w:t>
      </w:r>
    </w:p>
    <w:p w14:paraId="7E669D0D" w14:textId="77777777" w:rsidR="00800A91" w:rsidRDefault="00800A91" w:rsidP="00800A91">
      <w:pPr>
        <w:numPr>
          <w:ilvl w:val="0"/>
          <w:numId w:val="12"/>
        </w:numPr>
        <w:spacing w:before="100" w:beforeAutospacing="1" w:after="100" w:afterAutospacing="1" w:line="240" w:lineRule="auto"/>
      </w:pPr>
      <w:r>
        <w:t>(a) Production or manufacture of goods</w:t>
      </w:r>
    </w:p>
    <w:p w14:paraId="41A3FFF9" w14:textId="77777777" w:rsidR="00800A91" w:rsidRDefault="00800A91" w:rsidP="00800A91">
      <w:pPr>
        <w:numPr>
          <w:ilvl w:val="0"/>
          <w:numId w:val="12"/>
        </w:numPr>
        <w:spacing w:before="100" w:beforeAutospacing="1" w:after="100" w:afterAutospacing="1" w:line="240" w:lineRule="auto"/>
      </w:pPr>
      <w:r>
        <w:t>(b) Inward and outward supply of goods or services or both</w:t>
      </w:r>
    </w:p>
    <w:p w14:paraId="4B9FBDDC" w14:textId="77777777" w:rsidR="00800A91" w:rsidRDefault="00800A91" w:rsidP="00800A91">
      <w:pPr>
        <w:numPr>
          <w:ilvl w:val="0"/>
          <w:numId w:val="12"/>
        </w:numPr>
        <w:spacing w:before="100" w:beforeAutospacing="1" w:after="100" w:afterAutospacing="1" w:line="240" w:lineRule="auto"/>
      </w:pPr>
      <w:r>
        <w:t>(c) Stock of goods</w:t>
      </w:r>
    </w:p>
    <w:p w14:paraId="4A4388EC" w14:textId="77777777" w:rsidR="00800A91" w:rsidRDefault="00800A91" w:rsidP="00800A91">
      <w:pPr>
        <w:numPr>
          <w:ilvl w:val="0"/>
          <w:numId w:val="12"/>
        </w:numPr>
        <w:spacing w:before="100" w:beforeAutospacing="1" w:after="100" w:afterAutospacing="1" w:line="240" w:lineRule="auto"/>
      </w:pPr>
      <w:r>
        <w:t>(d) Input Tax Credit (ITC) availed</w:t>
      </w:r>
    </w:p>
    <w:p w14:paraId="1BE8A412" w14:textId="77777777" w:rsidR="00800A91" w:rsidRDefault="00800A91" w:rsidP="00800A91">
      <w:pPr>
        <w:numPr>
          <w:ilvl w:val="0"/>
          <w:numId w:val="12"/>
        </w:numPr>
        <w:spacing w:before="100" w:beforeAutospacing="1" w:after="100" w:afterAutospacing="1" w:line="240" w:lineRule="auto"/>
      </w:pPr>
      <w:r>
        <w:t>(e) Output tax payable and paid</w:t>
      </w:r>
    </w:p>
    <w:p w14:paraId="46EB1451" w14:textId="77777777" w:rsidR="00800A91" w:rsidRDefault="00800A91" w:rsidP="00800A91">
      <w:pPr>
        <w:numPr>
          <w:ilvl w:val="0"/>
          <w:numId w:val="12"/>
        </w:numPr>
        <w:spacing w:before="100" w:beforeAutospacing="1" w:after="100" w:afterAutospacing="1" w:line="240" w:lineRule="auto"/>
      </w:pPr>
      <w:r>
        <w:t>(f) Other particulars as prescribed</w:t>
      </w:r>
    </w:p>
    <w:p w14:paraId="43772FBB" w14:textId="77777777" w:rsidR="00800A91" w:rsidRDefault="00800A91" w:rsidP="00800A91">
      <w:pPr>
        <w:numPr>
          <w:ilvl w:val="0"/>
          <w:numId w:val="12"/>
        </w:numPr>
        <w:spacing w:before="100" w:beforeAutospacing="1" w:after="100" w:afterAutospacing="1" w:line="240" w:lineRule="auto"/>
      </w:pPr>
      <w:r>
        <w:t>(g) Details of imports and exports</w:t>
      </w:r>
    </w:p>
    <w:p w14:paraId="4E6EFDA3" w14:textId="77777777" w:rsidR="00800A91" w:rsidRDefault="00800A91" w:rsidP="00800A91">
      <w:pPr>
        <w:numPr>
          <w:ilvl w:val="0"/>
          <w:numId w:val="12"/>
        </w:numPr>
        <w:spacing w:before="100" w:beforeAutospacing="1" w:after="100" w:afterAutospacing="1" w:line="240" w:lineRule="auto"/>
      </w:pPr>
      <w:r>
        <w:t>(h) Reverse charge supplies and related documents</w:t>
      </w:r>
    </w:p>
    <w:p w14:paraId="130534DA" w14:textId="77777777" w:rsidR="00800A91" w:rsidRDefault="00800A91" w:rsidP="00800A91">
      <w:pPr>
        <w:spacing w:before="100" w:beforeAutospacing="1" w:after="100" w:afterAutospacing="1"/>
      </w:pPr>
      <w:r>
        <w:lastRenderedPageBreak/>
        <w:t>Relevant supporting documents include:</w:t>
      </w:r>
    </w:p>
    <w:p w14:paraId="49C9527B" w14:textId="77777777" w:rsidR="00800A91" w:rsidRDefault="00800A91" w:rsidP="00800A91">
      <w:pPr>
        <w:numPr>
          <w:ilvl w:val="0"/>
          <w:numId w:val="13"/>
        </w:numPr>
        <w:spacing w:before="100" w:beforeAutospacing="1" w:after="100" w:afterAutospacing="1" w:line="240" w:lineRule="auto"/>
      </w:pPr>
      <w:r>
        <w:t>Tax invoices</w:t>
      </w:r>
    </w:p>
    <w:p w14:paraId="4B6E16DE" w14:textId="77777777" w:rsidR="00800A91" w:rsidRDefault="00800A91" w:rsidP="00800A91">
      <w:pPr>
        <w:numPr>
          <w:ilvl w:val="0"/>
          <w:numId w:val="13"/>
        </w:numPr>
        <w:spacing w:before="100" w:beforeAutospacing="1" w:after="100" w:afterAutospacing="1" w:line="240" w:lineRule="auto"/>
      </w:pPr>
      <w:r>
        <w:t>Bills of supply</w:t>
      </w:r>
    </w:p>
    <w:p w14:paraId="597028D9" w14:textId="77777777" w:rsidR="00800A91" w:rsidRDefault="00800A91" w:rsidP="00800A91">
      <w:pPr>
        <w:numPr>
          <w:ilvl w:val="0"/>
          <w:numId w:val="13"/>
        </w:numPr>
        <w:spacing w:before="100" w:beforeAutospacing="1" w:after="100" w:afterAutospacing="1" w:line="240" w:lineRule="auto"/>
      </w:pPr>
      <w:r>
        <w:t>Delivery challans</w:t>
      </w:r>
    </w:p>
    <w:p w14:paraId="3EDC03BE" w14:textId="77777777" w:rsidR="00800A91" w:rsidRDefault="00800A91" w:rsidP="00800A91">
      <w:pPr>
        <w:numPr>
          <w:ilvl w:val="0"/>
          <w:numId w:val="13"/>
        </w:numPr>
        <w:spacing w:before="100" w:beforeAutospacing="1" w:after="100" w:afterAutospacing="1" w:line="240" w:lineRule="auto"/>
      </w:pPr>
      <w:r>
        <w:t>Credit and debit notes</w:t>
      </w:r>
    </w:p>
    <w:p w14:paraId="198873FB" w14:textId="77777777" w:rsidR="00800A91" w:rsidRDefault="00800A91" w:rsidP="00800A91">
      <w:pPr>
        <w:numPr>
          <w:ilvl w:val="0"/>
          <w:numId w:val="13"/>
        </w:numPr>
        <w:spacing w:before="100" w:beforeAutospacing="1" w:after="100" w:afterAutospacing="1" w:line="240" w:lineRule="auto"/>
      </w:pPr>
      <w:r>
        <w:t>Receipt/payment/refund vouchers</w:t>
      </w:r>
    </w:p>
    <w:p w14:paraId="22D62380" w14:textId="77777777" w:rsidR="00800A91" w:rsidRDefault="00800A91" w:rsidP="00800A91">
      <w:pPr>
        <w:numPr>
          <w:ilvl w:val="0"/>
          <w:numId w:val="13"/>
        </w:numPr>
        <w:spacing w:before="100" w:beforeAutospacing="1" w:after="100" w:afterAutospacing="1" w:line="240" w:lineRule="auto"/>
      </w:pPr>
      <w:r>
        <w:t>E-way bills</w:t>
      </w:r>
    </w:p>
    <w:p w14:paraId="0C1CABA3" w14:textId="77777777" w:rsidR="00800A91" w:rsidRDefault="00800A91" w:rsidP="00800A91">
      <w:pPr>
        <w:spacing w:before="100" w:beforeAutospacing="1" w:after="100" w:afterAutospacing="1"/>
      </w:pPr>
      <w:r>
        <w:rPr>
          <w:rStyle w:val="Emphasis"/>
        </w:rPr>
        <w:t xml:space="preserve">Note: These records can be maintained in </w:t>
      </w:r>
      <w:r>
        <w:rPr>
          <w:rStyle w:val="Strong"/>
          <w:i/>
          <w:iCs/>
        </w:rPr>
        <w:t>electronic form</w:t>
      </w:r>
      <w:r>
        <w:rPr>
          <w:rStyle w:val="Emphasis"/>
        </w:rPr>
        <w:t xml:space="preserve"> as well.</w:t>
      </w:r>
    </w:p>
    <w:p w14:paraId="42F1404A" w14:textId="77777777" w:rsidR="00800A91" w:rsidRDefault="00800A91" w:rsidP="00800A91">
      <w:pPr>
        <w:spacing w:after="0"/>
      </w:pPr>
      <w:r>
        <w:pict w14:anchorId="27F8D204">
          <v:rect id="_x0000_i1028" style="width:0;height:1.5pt" o:hralign="center" o:hrstd="t" o:hr="t" fillcolor="#a0a0a0" stroked="f"/>
        </w:pict>
      </w:r>
    </w:p>
    <w:p w14:paraId="3C3C39F0" w14:textId="77777777" w:rsidR="00800A91" w:rsidRDefault="00800A91" w:rsidP="00800A91">
      <w:pPr>
        <w:pStyle w:val="Heading4"/>
      </w:pPr>
      <w:r>
        <w:rPr>
          <w:rStyle w:val="Emphasis"/>
        </w:rPr>
        <w:t>Maintaining Another Entity’s Records</w:t>
      </w:r>
    </w:p>
    <w:p w14:paraId="6D878AF8" w14:textId="77777777" w:rsidR="00800A91" w:rsidRDefault="00800A91" w:rsidP="00800A91">
      <w:pPr>
        <w:spacing w:before="100" w:beforeAutospacing="1" w:after="100" w:afterAutospacing="1"/>
      </w:pPr>
      <w:r>
        <w:t xml:space="preserve">While a taxpayer may keep another entity’s records at their premises, </w:t>
      </w:r>
      <w:r>
        <w:rPr>
          <w:rStyle w:val="Strong"/>
        </w:rPr>
        <w:t>as per GST law</w:t>
      </w:r>
      <w:r>
        <w:t>:</w:t>
      </w:r>
    </w:p>
    <w:p w14:paraId="03EB43AF" w14:textId="77777777" w:rsidR="00800A91" w:rsidRDefault="00800A91" w:rsidP="00800A91">
      <w:pPr>
        <w:spacing w:before="100" w:beforeAutospacing="1" w:after="100" w:afterAutospacing="1"/>
      </w:pPr>
      <w:r>
        <w:t xml:space="preserve">If any records or documents related to a registered person are found at any premises </w:t>
      </w:r>
      <w:r>
        <w:rPr>
          <w:rStyle w:val="Strong"/>
        </w:rPr>
        <w:t>not listed on their registration certificate</w:t>
      </w:r>
      <w:r>
        <w:t xml:space="preserve">, such records will be presumed to be maintained by the said registered person, </w:t>
      </w:r>
      <w:r>
        <w:rPr>
          <w:rStyle w:val="Strong"/>
        </w:rPr>
        <w:t>unless proven otherwise</w:t>
      </w:r>
      <w:r>
        <w:t>.</w:t>
      </w:r>
    </w:p>
    <w:p w14:paraId="73904027" w14:textId="77777777" w:rsidR="00800A91" w:rsidRDefault="00800A91" w:rsidP="00800A91">
      <w:pPr>
        <w:spacing w:after="0"/>
      </w:pPr>
      <w:r>
        <w:pict w14:anchorId="0F9DA5FE">
          <v:rect id="_x0000_i1029" style="width:0;height:1.5pt" o:hralign="center" o:hrstd="t" o:hr="t" fillcolor="#a0a0a0" stroked="f"/>
        </w:pict>
      </w:r>
    </w:p>
    <w:p w14:paraId="7FF9FF1E" w14:textId="77777777" w:rsidR="00800A91" w:rsidRDefault="00800A91" w:rsidP="00800A91">
      <w:pPr>
        <w:pStyle w:val="Heading4"/>
      </w:pPr>
      <w:r>
        <w:rPr>
          <w:rStyle w:val="Emphasis"/>
        </w:rPr>
        <w:t>Record Retention Period</w:t>
      </w:r>
    </w:p>
    <w:p w14:paraId="34BD11EB" w14:textId="77777777" w:rsidR="00800A91" w:rsidRDefault="00800A91" w:rsidP="00800A91">
      <w:pPr>
        <w:spacing w:before="100" w:beforeAutospacing="1" w:after="100" w:afterAutospacing="1"/>
      </w:pPr>
      <w:r>
        <w:t>As per GST requirements:</w:t>
      </w:r>
    </w:p>
    <w:p w14:paraId="54652D20" w14:textId="77777777" w:rsidR="00800A91" w:rsidRDefault="00800A91" w:rsidP="00800A91">
      <w:pPr>
        <w:numPr>
          <w:ilvl w:val="0"/>
          <w:numId w:val="14"/>
        </w:numPr>
        <w:spacing w:before="100" w:beforeAutospacing="1" w:after="100" w:afterAutospacing="1" w:line="240" w:lineRule="auto"/>
      </w:pPr>
      <w:r>
        <w:t xml:space="preserve">All books of account, invoices, challans, and other related documents </w:t>
      </w:r>
      <w:r>
        <w:rPr>
          <w:rStyle w:val="Strong"/>
        </w:rPr>
        <w:t>must be retained for a period of 72 months (6 years)</w:t>
      </w:r>
      <w:r>
        <w:t xml:space="preserve"> from the </w:t>
      </w:r>
      <w:r>
        <w:rPr>
          <w:rStyle w:val="Strong"/>
        </w:rPr>
        <w:t>due date of furnishing the annual return</w:t>
      </w:r>
      <w:r>
        <w:t xml:space="preserve"> for the relevant financial year.</w:t>
      </w:r>
    </w:p>
    <w:p w14:paraId="48810CC6" w14:textId="77777777" w:rsidR="00800A91" w:rsidRDefault="00800A91" w:rsidP="00800A91">
      <w:pPr>
        <w:numPr>
          <w:ilvl w:val="0"/>
          <w:numId w:val="14"/>
        </w:numPr>
        <w:spacing w:before="100" w:beforeAutospacing="1" w:after="100" w:afterAutospacing="1" w:line="240" w:lineRule="auto"/>
      </w:pPr>
      <w:r>
        <w:t xml:space="preserve">These must be kept </w:t>
      </w:r>
      <w:r>
        <w:rPr>
          <w:rStyle w:val="Strong"/>
        </w:rPr>
        <w:t>at every business location</w:t>
      </w:r>
      <w:r>
        <w:t xml:space="preserve"> mentioned in the registration certificate.</w:t>
      </w:r>
    </w:p>
    <w:p w14:paraId="19D3F434" w14:textId="77777777" w:rsidR="00800A91" w:rsidRDefault="00800A91" w:rsidP="00800A91">
      <w:pPr>
        <w:spacing w:after="0"/>
      </w:pPr>
      <w:r>
        <w:pict w14:anchorId="2DF5C024">
          <v:rect id="_x0000_i1030" style="width:0;height:1.5pt" o:hralign="center" o:hrstd="t" o:hr="t" fillcolor="#a0a0a0" stroked="f"/>
        </w:pict>
      </w:r>
    </w:p>
    <w:p w14:paraId="734C346C" w14:textId="77777777" w:rsidR="00800A91" w:rsidRDefault="00800A91" w:rsidP="00800A91">
      <w:pPr>
        <w:pStyle w:val="Heading4"/>
      </w:pPr>
      <w:r>
        <w:rPr>
          <w:rStyle w:val="Emphasis"/>
        </w:rPr>
        <w:t>Extended Retention in Case of Proceedings</w:t>
      </w:r>
    </w:p>
    <w:p w14:paraId="4D8402A7" w14:textId="77777777" w:rsidR="00800A91" w:rsidRDefault="00800A91" w:rsidP="00800A91">
      <w:pPr>
        <w:spacing w:before="100" w:beforeAutospacing="1" w:after="100" w:afterAutospacing="1"/>
      </w:pPr>
      <w:r>
        <w:t>In cases where:</w:t>
      </w:r>
    </w:p>
    <w:p w14:paraId="5C669E67" w14:textId="77777777" w:rsidR="00800A91" w:rsidRDefault="00800A91" w:rsidP="00800A91">
      <w:pPr>
        <w:numPr>
          <w:ilvl w:val="0"/>
          <w:numId w:val="15"/>
        </w:numPr>
        <w:spacing w:before="100" w:beforeAutospacing="1" w:after="100" w:afterAutospacing="1" w:line="240" w:lineRule="auto"/>
      </w:pPr>
      <w:r>
        <w:t xml:space="preserve">An </w:t>
      </w:r>
      <w:r>
        <w:rPr>
          <w:rStyle w:val="Strong"/>
        </w:rPr>
        <w:t>appeal, revision, investigation, or other proceeding</w:t>
      </w:r>
      <w:r>
        <w:t xml:space="preserve"> is pending,</w:t>
      </w:r>
    </w:p>
    <w:p w14:paraId="67D7B82C" w14:textId="77777777" w:rsidR="00800A91" w:rsidRDefault="00800A91" w:rsidP="00800A91">
      <w:pPr>
        <w:spacing w:before="100" w:beforeAutospacing="1" w:after="100" w:afterAutospacing="1"/>
      </w:pPr>
      <w:r>
        <w:t>The records related to the matter must be retained for:</w:t>
      </w:r>
    </w:p>
    <w:p w14:paraId="59C15942" w14:textId="77777777" w:rsidR="00800A91" w:rsidRDefault="00800A91" w:rsidP="00800A91">
      <w:pPr>
        <w:spacing w:before="100" w:beforeAutospacing="1" w:after="100" w:afterAutospacing="1"/>
      </w:pPr>
      <w:r>
        <w:rPr>
          <w:rStyle w:val="Strong"/>
        </w:rPr>
        <w:t>One year after the final disposal</w:t>
      </w:r>
      <w:r>
        <w:t xml:space="preserve"> of the case</w:t>
      </w:r>
      <w:r>
        <w:br/>
      </w:r>
      <w:r>
        <w:rPr>
          <w:rStyle w:val="Strong"/>
        </w:rPr>
        <w:t>OR</w:t>
      </w:r>
      <w:r>
        <w:br/>
      </w:r>
      <w:r>
        <w:rPr>
          <w:rStyle w:val="Strong"/>
        </w:rPr>
        <w:t>Seventy-two months</w:t>
      </w:r>
      <w:proofErr w:type="gramStart"/>
      <w:r>
        <w:t>,</w:t>
      </w:r>
      <w:proofErr w:type="gramEnd"/>
      <w:r>
        <w:br/>
      </w:r>
      <w:r>
        <w:rPr>
          <w:rStyle w:val="Strong"/>
        </w:rPr>
        <w:t>Whichever is later</w:t>
      </w:r>
    </w:p>
    <w:p w14:paraId="4DF55D10" w14:textId="77777777" w:rsidR="00800A91" w:rsidRPr="00463E1C" w:rsidRDefault="00800A91" w:rsidP="00DF1180">
      <w:pPr>
        <w:jc w:val="both"/>
        <w:rPr>
          <w:rFonts w:ascii="Bookman Old Style" w:hAnsi="Bookman Old Style"/>
          <w:sz w:val="32"/>
          <w:szCs w:val="32"/>
        </w:rPr>
      </w:pPr>
    </w:p>
    <w:sectPr w:rsidR="00800A91" w:rsidRPr="00463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2F17"/>
    <w:multiLevelType w:val="hybridMultilevel"/>
    <w:tmpl w:val="A32C7B7A"/>
    <w:lvl w:ilvl="0" w:tplc="8710F2BA">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53123A14">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79E02594">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134CB212">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DB6E9848">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9294D318">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DDACB34E">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5FA822CC">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57A60C16">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1">
    <w:nsid w:val="27755F52"/>
    <w:multiLevelType w:val="multilevel"/>
    <w:tmpl w:val="1FFA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CA3BAB"/>
    <w:multiLevelType w:val="hybridMultilevel"/>
    <w:tmpl w:val="B48CCF5C"/>
    <w:lvl w:ilvl="0" w:tplc="A6F48258">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C78034E4">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9C76EC12">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3564C212">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E7347328">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22A80CF0">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C0981980">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8A5A156A">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D6646DB6">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3">
    <w:nsid w:val="35D57460"/>
    <w:multiLevelType w:val="hybridMultilevel"/>
    <w:tmpl w:val="9D90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8239B"/>
    <w:multiLevelType w:val="hybridMultilevel"/>
    <w:tmpl w:val="3186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910356"/>
    <w:multiLevelType w:val="multilevel"/>
    <w:tmpl w:val="7184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8E075B"/>
    <w:multiLevelType w:val="hybridMultilevel"/>
    <w:tmpl w:val="AD0A05D6"/>
    <w:lvl w:ilvl="0" w:tplc="330E0430">
      <w:start w:val="6"/>
      <w:numFmt w:val="decimal"/>
      <w:lvlText w:val="%1."/>
      <w:lvlJc w:val="left"/>
      <w:pPr>
        <w:ind w:left="73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F7702FE8">
      <w:start w:val="1"/>
      <w:numFmt w:val="bullet"/>
      <w:lvlText w:val="•"/>
      <w:lvlJc w:val="left"/>
      <w:pPr>
        <w:ind w:left="907"/>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2" w:tplc="24820740">
      <w:start w:val="1"/>
      <w:numFmt w:val="bullet"/>
      <w:lvlText w:val="▪"/>
      <w:lvlJc w:val="left"/>
      <w:pPr>
        <w:ind w:left="153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3" w:tplc="79A061E4">
      <w:start w:val="1"/>
      <w:numFmt w:val="bullet"/>
      <w:lvlText w:val="•"/>
      <w:lvlJc w:val="left"/>
      <w:pPr>
        <w:ind w:left="225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4" w:tplc="FC980FEE">
      <w:start w:val="1"/>
      <w:numFmt w:val="bullet"/>
      <w:lvlText w:val="o"/>
      <w:lvlJc w:val="left"/>
      <w:pPr>
        <w:ind w:left="297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5" w:tplc="760AF874">
      <w:start w:val="1"/>
      <w:numFmt w:val="bullet"/>
      <w:lvlText w:val="▪"/>
      <w:lvlJc w:val="left"/>
      <w:pPr>
        <w:ind w:left="369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6" w:tplc="FF3C448A">
      <w:start w:val="1"/>
      <w:numFmt w:val="bullet"/>
      <w:lvlText w:val="•"/>
      <w:lvlJc w:val="left"/>
      <w:pPr>
        <w:ind w:left="441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7" w:tplc="DA0EE22A">
      <w:start w:val="1"/>
      <w:numFmt w:val="bullet"/>
      <w:lvlText w:val="o"/>
      <w:lvlJc w:val="left"/>
      <w:pPr>
        <w:ind w:left="513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8" w:tplc="F52A03D6">
      <w:start w:val="1"/>
      <w:numFmt w:val="bullet"/>
      <w:lvlText w:val="▪"/>
      <w:lvlJc w:val="left"/>
      <w:pPr>
        <w:ind w:left="58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abstractNum>
  <w:abstractNum w:abstractNumId="7">
    <w:nsid w:val="4C70325B"/>
    <w:multiLevelType w:val="multilevel"/>
    <w:tmpl w:val="0E96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1F2293"/>
    <w:multiLevelType w:val="multilevel"/>
    <w:tmpl w:val="10C6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840253"/>
    <w:multiLevelType w:val="hybridMultilevel"/>
    <w:tmpl w:val="97B2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0A665C"/>
    <w:multiLevelType w:val="multilevel"/>
    <w:tmpl w:val="58FA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437E38"/>
    <w:multiLevelType w:val="multilevel"/>
    <w:tmpl w:val="194A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2E33B9"/>
    <w:multiLevelType w:val="multilevel"/>
    <w:tmpl w:val="E9B2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617440"/>
    <w:multiLevelType w:val="hybridMultilevel"/>
    <w:tmpl w:val="E58E3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F31D04"/>
    <w:multiLevelType w:val="multilevel"/>
    <w:tmpl w:val="9A7E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3"/>
  </w:num>
  <w:num w:numId="4">
    <w:abstractNumId w:val="12"/>
  </w:num>
  <w:num w:numId="5">
    <w:abstractNumId w:val="4"/>
  </w:num>
  <w:num w:numId="6">
    <w:abstractNumId w:val="2"/>
  </w:num>
  <w:num w:numId="7">
    <w:abstractNumId w:val="0"/>
  </w:num>
  <w:num w:numId="8">
    <w:abstractNumId w:val="6"/>
  </w:num>
  <w:num w:numId="9">
    <w:abstractNumId w:val="8"/>
  </w:num>
  <w:num w:numId="10">
    <w:abstractNumId w:val="11"/>
  </w:num>
  <w:num w:numId="11">
    <w:abstractNumId w:val="1"/>
  </w:num>
  <w:num w:numId="12">
    <w:abstractNumId w:val="7"/>
  </w:num>
  <w:num w:numId="13">
    <w:abstractNumId w:val="5"/>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B36"/>
    <w:rsid w:val="00251018"/>
    <w:rsid w:val="003610A6"/>
    <w:rsid w:val="00463E1C"/>
    <w:rsid w:val="00517B36"/>
    <w:rsid w:val="00773D89"/>
    <w:rsid w:val="00800A91"/>
    <w:rsid w:val="008E4F2D"/>
    <w:rsid w:val="00943CB9"/>
    <w:rsid w:val="009867B5"/>
    <w:rsid w:val="009B5E93"/>
    <w:rsid w:val="00AB21E0"/>
    <w:rsid w:val="00B90D9C"/>
    <w:rsid w:val="00C54A62"/>
    <w:rsid w:val="00D45EC9"/>
    <w:rsid w:val="00DF1180"/>
    <w:rsid w:val="00E868A1"/>
    <w:rsid w:val="00F21EE8"/>
    <w:rsid w:val="00F32E1D"/>
    <w:rsid w:val="00FB0A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F32E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800A91"/>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80"/>
    <w:pPr>
      <w:ind w:left="720"/>
      <w:contextualSpacing/>
    </w:pPr>
  </w:style>
  <w:style w:type="character" w:customStyle="1" w:styleId="Heading3Char">
    <w:name w:val="Heading 3 Char"/>
    <w:basedOn w:val="DefaultParagraphFont"/>
    <w:link w:val="Heading3"/>
    <w:uiPriority w:val="9"/>
    <w:rsid w:val="00F32E1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F32E1D"/>
    <w:rPr>
      <w:b/>
      <w:bCs/>
    </w:rPr>
  </w:style>
  <w:style w:type="character" w:customStyle="1" w:styleId="Heading4Char">
    <w:name w:val="Heading 4 Char"/>
    <w:basedOn w:val="DefaultParagraphFont"/>
    <w:link w:val="Heading4"/>
    <w:uiPriority w:val="9"/>
    <w:semiHidden/>
    <w:rsid w:val="00800A91"/>
    <w:rPr>
      <w:rFonts w:asciiTheme="majorHAnsi" w:eastAsiaTheme="majorEastAsia" w:hAnsiTheme="majorHAnsi" w:cstheme="majorBidi"/>
      <w:b/>
      <w:bCs/>
      <w:i/>
      <w:iCs/>
      <w:color w:val="4472C4" w:themeColor="accent1"/>
    </w:rPr>
  </w:style>
  <w:style w:type="character" w:styleId="Emphasis">
    <w:name w:val="Emphasis"/>
    <w:basedOn w:val="DefaultParagraphFont"/>
    <w:uiPriority w:val="20"/>
    <w:qFormat/>
    <w:rsid w:val="00800A9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F32E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800A91"/>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80"/>
    <w:pPr>
      <w:ind w:left="720"/>
      <w:contextualSpacing/>
    </w:pPr>
  </w:style>
  <w:style w:type="character" w:customStyle="1" w:styleId="Heading3Char">
    <w:name w:val="Heading 3 Char"/>
    <w:basedOn w:val="DefaultParagraphFont"/>
    <w:link w:val="Heading3"/>
    <w:uiPriority w:val="9"/>
    <w:rsid w:val="00F32E1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F32E1D"/>
    <w:rPr>
      <w:b/>
      <w:bCs/>
    </w:rPr>
  </w:style>
  <w:style w:type="character" w:customStyle="1" w:styleId="Heading4Char">
    <w:name w:val="Heading 4 Char"/>
    <w:basedOn w:val="DefaultParagraphFont"/>
    <w:link w:val="Heading4"/>
    <w:uiPriority w:val="9"/>
    <w:semiHidden/>
    <w:rsid w:val="00800A91"/>
    <w:rPr>
      <w:rFonts w:asciiTheme="majorHAnsi" w:eastAsiaTheme="majorEastAsia" w:hAnsiTheme="majorHAnsi" w:cstheme="majorBidi"/>
      <w:b/>
      <w:bCs/>
      <w:i/>
      <w:iCs/>
      <w:color w:val="4472C4" w:themeColor="accent1"/>
    </w:rPr>
  </w:style>
  <w:style w:type="character" w:styleId="Emphasis">
    <w:name w:val="Emphasis"/>
    <w:basedOn w:val="DefaultParagraphFont"/>
    <w:uiPriority w:val="20"/>
    <w:qFormat/>
    <w:rsid w:val="00800A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2653">
      <w:bodyDiv w:val="1"/>
      <w:marLeft w:val="0"/>
      <w:marRight w:val="0"/>
      <w:marTop w:val="0"/>
      <w:marBottom w:val="0"/>
      <w:divBdr>
        <w:top w:val="none" w:sz="0" w:space="0" w:color="auto"/>
        <w:left w:val="none" w:sz="0" w:space="0" w:color="auto"/>
        <w:bottom w:val="none" w:sz="0" w:space="0" w:color="auto"/>
        <w:right w:val="none" w:sz="0" w:space="0" w:color="auto"/>
      </w:divBdr>
      <w:divsChild>
        <w:div w:id="625624262">
          <w:blockQuote w:val="1"/>
          <w:marLeft w:val="720"/>
          <w:marRight w:val="720"/>
          <w:marTop w:val="100"/>
          <w:marBottom w:val="100"/>
          <w:divBdr>
            <w:top w:val="none" w:sz="0" w:space="0" w:color="auto"/>
            <w:left w:val="none" w:sz="0" w:space="0" w:color="auto"/>
            <w:bottom w:val="none" w:sz="0" w:space="0" w:color="auto"/>
            <w:right w:val="none" w:sz="0" w:space="0" w:color="auto"/>
          </w:divBdr>
        </w:div>
        <w:div w:id="46813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14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6</cp:revision>
  <dcterms:created xsi:type="dcterms:W3CDTF">2025-05-01T08:20:00Z</dcterms:created>
  <dcterms:modified xsi:type="dcterms:W3CDTF">2025-05-21T02:02:00Z</dcterms:modified>
</cp:coreProperties>
</file>