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99EBE" w14:textId="6A3FDB64" w:rsidR="00512F5C" w:rsidRPr="00F1773A" w:rsidRDefault="00512F5C" w:rsidP="00F1773A">
      <w:pPr>
        <w:pStyle w:val="Heading1"/>
        <w:ind w:left="10" w:right="67"/>
        <w:jc w:val="center"/>
        <w:rPr>
          <w:rFonts w:ascii="Times New Roman" w:hAnsi="Times New Roman" w:cs="Times New Roman"/>
          <w:sz w:val="36"/>
        </w:rPr>
      </w:pPr>
      <w:r w:rsidRPr="00F1773A">
        <w:rPr>
          <w:rFonts w:ascii="Times New Roman" w:hAnsi="Times New Roman" w:cs="Times New Roman"/>
          <w:sz w:val="36"/>
        </w:rPr>
        <w:t xml:space="preserve">Concept of Aggregate </w:t>
      </w:r>
      <w:r w:rsidRPr="00F1773A">
        <w:rPr>
          <w:rFonts w:ascii="Times New Roman" w:eastAsia="Times New Roman" w:hAnsi="Times New Roman" w:cs="Times New Roman"/>
          <w:color w:val="181717"/>
          <w:sz w:val="36"/>
        </w:rPr>
        <w:t>Turnover in GST</w:t>
      </w:r>
    </w:p>
    <w:p w14:paraId="0B0BB0B3" w14:textId="77777777" w:rsidR="00512F5C" w:rsidRDefault="00512F5C" w:rsidP="00512F5C">
      <w:pPr>
        <w:spacing w:after="159" w:line="250" w:lineRule="auto"/>
        <w:ind w:left="21" w:right="53" w:hanging="10"/>
        <w:jc w:val="both"/>
      </w:pPr>
      <w:r>
        <w:rPr>
          <w:rFonts w:ascii="Times New Roman" w:eastAsia="Times New Roman" w:hAnsi="Times New Roman" w:cs="Times New Roman"/>
          <w:color w:val="181717"/>
          <w:sz w:val="26"/>
        </w:rPr>
        <w:t>Turnover, in common parlance, is the total volume of a business. The term ‘aggregate turnover’ has been defined in GST law as under:</w:t>
      </w:r>
    </w:p>
    <w:p w14:paraId="5A86760D" w14:textId="77777777" w:rsidR="00512F5C" w:rsidRDefault="00512F5C" w:rsidP="00512F5C">
      <w:pPr>
        <w:spacing w:after="159" w:line="249" w:lineRule="auto"/>
        <w:ind w:left="21" w:right="52" w:hanging="10"/>
        <w:jc w:val="both"/>
      </w:pPr>
      <w:r>
        <w:rPr>
          <w:rFonts w:ascii="Times New Roman" w:eastAsia="Times New Roman" w:hAnsi="Times New Roman" w:cs="Times New Roman"/>
          <w:i/>
          <w:color w:val="181717"/>
          <w:sz w:val="26"/>
        </w:rPr>
        <w:t>“aggregate turnover” means the aggregate value of all taxable supplies (excluding the value of inward supplies on which tax is payable by a person on reverse charge basis), exempt supplies, exports of goods or services or both and inter-State supplies of persons having the same Permanent Account Number, to be computed on all India basis but excludes central tax, State tax, Union territory tax, integrated tax and cess.</w:t>
      </w:r>
    </w:p>
    <w:p w14:paraId="736BC54F" w14:textId="77777777" w:rsidR="00512F5C" w:rsidRDefault="00512F5C" w:rsidP="00512F5C">
      <w:pPr>
        <w:spacing w:after="159" w:line="250" w:lineRule="auto"/>
        <w:ind w:left="21" w:right="53" w:hanging="10"/>
        <w:jc w:val="both"/>
      </w:pPr>
      <w:r>
        <w:rPr>
          <w:rFonts w:ascii="Times New Roman" w:eastAsia="Times New Roman" w:hAnsi="Times New Roman" w:cs="Times New Roman"/>
          <w:color w:val="181717"/>
          <w:sz w:val="26"/>
        </w:rPr>
        <w:t xml:space="preserve">The aggregate turnover is a crucial parameter for deciding the eligibility of a supplier to avail the benefit of exemption threshold of Rs. 20 Lakhs [Rs. 10 Lakhs in case of special category States except J &amp; K] and for determining the threshold limit for composition levy. Let us dissect the definition in small parts to understand the meaning clearly. There are certain terms used in the definition which need a bit of elaboration. </w:t>
      </w:r>
    </w:p>
    <w:p w14:paraId="087D59D2" w14:textId="77777777" w:rsidR="00512F5C" w:rsidRDefault="00512F5C" w:rsidP="00512F5C">
      <w:pPr>
        <w:spacing w:after="159" w:line="250" w:lineRule="auto"/>
        <w:ind w:left="21" w:right="53" w:hanging="10"/>
        <w:jc w:val="both"/>
      </w:pPr>
      <w:r>
        <w:rPr>
          <w:rFonts w:ascii="Times New Roman" w:eastAsia="Times New Roman" w:hAnsi="Times New Roman" w:cs="Times New Roman"/>
          <w:color w:val="181717"/>
          <w:sz w:val="26"/>
        </w:rPr>
        <w:t>It may be noted that the inward supplies on which the recipient is required to pay tax under Reverse Charge Mechanism (RCM) does not form part of the ‘aggregate turnover’. The law stipulates certain supplies like, Goods Transport Agency services, services received from outside India, to name a few, where the recipient of service is made to pay the tax. The value of such supplies on which tax is paid, would not form part of the ‘aggregate turnover’ of recipient of such supplies. However, the value of such supplies would continue to be part of the ‘aggregate turnover’ of the supplier of such supplies.</w:t>
      </w:r>
    </w:p>
    <w:p w14:paraId="4BEB72FA" w14:textId="77777777" w:rsidR="00512F5C" w:rsidRDefault="00512F5C" w:rsidP="00512F5C">
      <w:pPr>
        <w:spacing w:after="159" w:line="250" w:lineRule="auto"/>
        <w:ind w:left="21" w:right="53" w:hanging="10"/>
        <w:jc w:val="both"/>
      </w:pPr>
      <w:r>
        <w:rPr>
          <w:rFonts w:ascii="Times New Roman" w:eastAsia="Times New Roman" w:hAnsi="Times New Roman" w:cs="Times New Roman"/>
          <w:color w:val="181717"/>
          <w:sz w:val="26"/>
        </w:rPr>
        <w:t>The second element of value which would not be included in the ‘aggregate turnover’ is the element of central tax, state tax, union territory tax and integrated tax and compensation cess.</w:t>
      </w:r>
    </w:p>
    <w:p w14:paraId="22A6C8AC" w14:textId="77777777" w:rsidR="00512F5C" w:rsidRDefault="00512F5C" w:rsidP="00512F5C">
      <w:pPr>
        <w:spacing w:after="159" w:line="250" w:lineRule="auto"/>
        <w:ind w:left="21" w:right="53" w:hanging="10"/>
        <w:jc w:val="both"/>
      </w:pPr>
      <w:r>
        <w:rPr>
          <w:rFonts w:ascii="Times New Roman" w:eastAsia="Times New Roman" w:hAnsi="Times New Roman" w:cs="Times New Roman"/>
          <w:color w:val="181717"/>
          <w:sz w:val="26"/>
        </w:rPr>
        <w:t>The value of exported goods/services, exempted goods/ services, inter-state supplies between distinct persons having same PAN would be added to ‘aggregate turnover’. Last but not the least, such turnover is to be calculated by taking together the value in respect of the activities carried out on all-India basis.</w:t>
      </w:r>
    </w:p>
    <w:p w14:paraId="736D3EE1" w14:textId="77777777" w:rsidR="00512F5C" w:rsidRDefault="00512F5C" w:rsidP="00512F5C">
      <w:pPr>
        <w:spacing w:after="453" w:line="250" w:lineRule="auto"/>
        <w:ind w:left="21" w:right="53" w:hanging="10"/>
        <w:jc w:val="both"/>
        <w:rPr>
          <w:rFonts w:ascii="Times New Roman" w:eastAsia="Times New Roman" w:hAnsi="Times New Roman" w:cs="Times New Roman"/>
          <w:color w:val="181717"/>
          <w:sz w:val="26"/>
        </w:rPr>
      </w:pPr>
      <w:r>
        <w:rPr>
          <w:rFonts w:ascii="Times New Roman" w:eastAsia="Times New Roman" w:hAnsi="Times New Roman" w:cs="Times New Roman"/>
          <w:color w:val="181717"/>
          <w:sz w:val="26"/>
        </w:rPr>
        <w:t>The aggregate turnover is different from turnover in a State. The former is used for determining the threshold limit for registration as well as eligibility for Composition Scheme. However, the composition levy would be calculated on the basis of turnover in the State.</w:t>
      </w:r>
    </w:p>
    <w:p w14:paraId="355A8F84" w14:textId="77777777" w:rsidR="006429ED" w:rsidRDefault="006429ED" w:rsidP="00512F5C">
      <w:pPr>
        <w:spacing w:after="453" w:line="250" w:lineRule="auto"/>
        <w:ind w:left="21" w:right="53" w:hanging="10"/>
        <w:jc w:val="both"/>
        <w:rPr>
          <w:rFonts w:ascii="Times New Roman" w:eastAsia="Times New Roman" w:hAnsi="Times New Roman" w:cs="Times New Roman"/>
          <w:color w:val="181717"/>
          <w:sz w:val="26"/>
        </w:rPr>
      </w:pPr>
    </w:p>
    <w:p w14:paraId="6E408E0C" w14:textId="77777777" w:rsidR="006429ED" w:rsidRDefault="006429ED" w:rsidP="00512F5C">
      <w:pPr>
        <w:spacing w:after="453" w:line="250" w:lineRule="auto"/>
        <w:ind w:left="21" w:right="53" w:hanging="10"/>
        <w:jc w:val="both"/>
        <w:rPr>
          <w:rFonts w:ascii="Times New Roman" w:eastAsia="Times New Roman" w:hAnsi="Times New Roman" w:cs="Times New Roman"/>
          <w:color w:val="181717"/>
          <w:sz w:val="26"/>
        </w:rPr>
      </w:pPr>
    </w:p>
    <w:p w14:paraId="70188046" w14:textId="77777777" w:rsidR="006429ED" w:rsidRPr="006429ED" w:rsidRDefault="006429ED" w:rsidP="006429ED">
      <w:pPr>
        <w:pStyle w:val="Heading3"/>
        <w:rPr>
          <w:rFonts w:ascii="Arial" w:hAnsi="Arial" w:cs="Arial"/>
          <w:szCs w:val="28"/>
        </w:rPr>
      </w:pPr>
      <w:r w:rsidRPr="006429ED">
        <w:rPr>
          <w:rFonts w:ascii="Arial" w:hAnsi="Arial" w:cs="Arial"/>
          <w:szCs w:val="28"/>
        </w:rPr>
        <w:lastRenderedPageBreak/>
        <w:t>Concept of Aggregate Turnover in GST</w:t>
      </w:r>
    </w:p>
    <w:p w14:paraId="76FDE042" w14:textId="77777777" w:rsidR="006429ED" w:rsidRPr="006429ED" w:rsidRDefault="006429ED" w:rsidP="006429ED">
      <w:pPr>
        <w:pStyle w:val="NormalWeb"/>
        <w:rPr>
          <w:rFonts w:ascii="Arial" w:hAnsi="Arial" w:cs="Arial"/>
          <w:sz w:val="28"/>
          <w:szCs w:val="28"/>
        </w:rPr>
      </w:pPr>
      <w:r w:rsidRPr="006429ED">
        <w:rPr>
          <w:rFonts w:ascii="Arial" w:hAnsi="Arial" w:cs="Arial"/>
          <w:sz w:val="28"/>
          <w:szCs w:val="28"/>
        </w:rPr>
        <w:t xml:space="preserve">In general business parlance, </w:t>
      </w:r>
      <w:r w:rsidRPr="006429ED">
        <w:rPr>
          <w:rStyle w:val="Emphasis"/>
          <w:rFonts w:ascii="Arial" w:eastAsiaTheme="majorEastAsia" w:hAnsi="Arial" w:cs="Arial"/>
          <w:sz w:val="28"/>
          <w:szCs w:val="28"/>
        </w:rPr>
        <w:t>turnover</w:t>
      </w:r>
      <w:r w:rsidRPr="006429ED">
        <w:rPr>
          <w:rFonts w:ascii="Arial" w:hAnsi="Arial" w:cs="Arial"/>
          <w:sz w:val="28"/>
          <w:szCs w:val="28"/>
        </w:rPr>
        <w:t xml:space="preserve"> refers to the total volume or value of sales generated by a business. Under the Goods and Services Tax (GST) law, a more specific and structured term is used—</w:t>
      </w:r>
      <w:r w:rsidRPr="006429ED">
        <w:rPr>
          <w:rStyle w:val="Strong"/>
          <w:rFonts w:ascii="Arial" w:eastAsiaTheme="majorEastAsia" w:hAnsi="Arial" w:cs="Arial"/>
          <w:sz w:val="28"/>
          <w:szCs w:val="28"/>
        </w:rPr>
        <w:t>aggregate turnover</w:t>
      </w:r>
      <w:r w:rsidRPr="006429ED">
        <w:rPr>
          <w:rFonts w:ascii="Arial" w:hAnsi="Arial" w:cs="Arial"/>
          <w:sz w:val="28"/>
          <w:szCs w:val="28"/>
        </w:rPr>
        <w:t>.</w:t>
      </w:r>
    </w:p>
    <w:p w14:paraId="0491344C" w14:textId="77777777" w:rsidR="006429ED" w:rsidRPr="006429ED" w:rsidRDefault="006429ED" w:rsidP="006429ED">
      <w:pPr>
        <w:pStyle w:val="NormalWeb"/>
        <w:rPr>
          <w:rFonts w:ascii="Arial" w:hAnsi="Arial" w:cs="Arial"/>
          <w:sz w:val="28"/>
          <w:szCs w:val="28"/>
        </w:rPr>
      </w:pPr>
      <w:r w:rsidRPr="006429ED">
        <w:rPr>
          <w:rStyle w:val="Strong"/>
          <w:rFonts w:ascii="Arial" w:eastAsiaTheme="majorEastAsia" w:hAnsi="Arial" w:cs="Arial"/>
          <w:sz w:val="28"/>
          <w:szCs w:val="28"/>
        </w:rPr>
        <w:t>Definition</w:t>
      </w:r>
      <w:proofErr w:type="gramStart"/>
      <w:r w:rsidRPr="006429ED">
        <w:rPr>
          <w:rStyle w:val="Strong"/>
          <w:rFonts w:ascii="Arial" w:eastAsiaTheme="majorEastAsia" w:hAnsi="Arial" w:cs="Arial"/>
          <w:sz w:val="28"/>
          <w:szCs w:val="28"/>
        </w:rPr>
        <w:t>:</w:t>
      </w:r>
      <w:proofErr w:type="gramEnd"/>
      <w:r w:rsidRPr="006429ED">
        <w:rPr>
          <w:rFonts w:ascii="Arial" w:hAnsi="Arial" w:cs="Arial"/>
          <w:sz w:val="28"/>
          <w:szCs w:val="28"/>
        </w:rPr>
        <w:br/>
        <w:t>As per the GST Act,</w:t>
      </w:r>
    </w:p>
    <w:p w14:paraId="519005E0" w14:textId="77777777" w:rsidR="006429ED" w:rsidRPr="006429ED" w:rsidRDefault="006429ED" w:rsidP="006429ED">
      <w:pPr>
        <w:pStyle w:val="NormalWeb"/>
        <w:rPr>
          <w:rFonts w:ascii="Arial" w:hAnsi="Arial" w:cs="Arial"/>
          <w:sz w:val="28"/>
          <w:szCs w:val="28"/>
        </w:rPr>
      </w:pPr>
      <w:r w:rsidRPr="006429ED">
        <w:rPr>
          <w:rStyle w:val="Emphasis"/>
          <w:rFonts w:ascii="Arial" w:eastAsiaTheme="majorEastAsia" w:hAnsi="Arial" w:cs="Arial"/>
          <w:sz w:val="28"/>
          <w:szCs w:val="28"/>
        </w:rPr>
        <w:t>“Aggregate turnover” means the aggregate value of all taxable supplies (excluding the value of inward supplies on which tax is payable by a person on reverse charge basis), exempt supplies, exports of goods or services or both, and inter-State supplies of persons having the same Permanent Account Number (PAN), to be computed on an all-India basis. It excludes central tax, State tax, Union territory tax, integrated tax, and compensation cess.</w:t>
      </w:r>
    </w:p>
    <w:p w14:paraId="1D3E3A0B" w14:textId="77777777" w:rsidR="006429ED" w:rsidRPr="006429ED" w:rsidRDefault="006429ED" w:rsidP="006429ED">
      <w:pPr>
        <w:pStyle w:val="Heading3"/>
        <w:rPr>
          <w:rFonts w:ascii="Arial" w:hAnsi="Arial" w:cs="Arial"/>
          <w:szCs w:val="28"/>
        </w:rPr>
      </w:pPr>
      <w:r w:rsidRPr="006429ED">
        <w:rPr>
          <w:rFonts w:ascii="Arial" w:hAnsi="Arial" w:cs="Arial"/>
          <w:szCs w:val="28"/>
        </w:rPr>
        <w:t>Key Components and Exclusions</w:t>
      </w:r>
    </w:p>
    <w:p w14:paraId="77457F66" w14:textId="77777777" w:rsidR="006429ED" w:rsidRPr="006429ED" w:rsidRDefault="006429ED" w:rsidP="006429ED">
      <w:pPr>
        <w:pStyle w:val="NormalWeb"/>
        <w:rPr>
          <w:rFonts w:ascii="Arial" w:hAnsi="Arial" w:cs="Arial"/>
          <w:sz w:val="28"/>
          <w:szCs w:val="28"/>
        </w:rPr>
      </w:pPr>
      <w:r w:rsidRPr="006429ED">
        <w:rPr>
          <w:rFonts w:ascii="Arial" w:hAnsi="Arial" w:cs="Arial"/>
          <w:sz w:val="28"/>
          <w:szCs w:val="28"/>
        </w:rPr>
        <w:t>To better understand the scope of aggregate turnover, let’s break down the elements included and excluded under this definition:</w:t>
      </w:r>
    </w:p>
    <w:p w14:paraId="4035703A" w14:textId="77777777" w:rsidR="006429ED" w:rsidRPr="006429ED" w:rsidRDefault="006429ED" w:rsidP="006429ED">
      <w:pPr>
        <w:pStyle w:val="Heading4"/>
        <w:rPr>
          <w:rFonts w:ascii="Arial" w:hAnsi="Arial" w:cs="Arial"/>
          <w:sz w:val="28"/>
          <w:szCs w:val="28"/>
        </w:rPr>
      </w:pPr>
      <w:r w:rsidRPr="006429ED">
        <w:rPr>
          <w:rStyle w:val="Strong"/>
          <w:rFonts w:ascii="Arial" w:hAnsi="Arial" w:cs="Arial"/>
          <w:b w:val="0"/>
          <w:bCs w:val="0"/>
          <w:sz w:val="28"/>
          <w:szCs w:val="28"/>
        </w:rPr>
        <w:t>Included in Aggregate Turnover:</w:t>
      </w:r>
    </w:p>
    <w:p w14:paraId="5D1F4ACB" w14:textId="77777777" w:rsidR="006429ED" w:rsidRPr="006429ED" w:rsidRDefault="006429ED" w:rsidP="006429ED">
      <w:pPr>
        <w:pStyle w:val="NormalWeb"/>
        <w:numPr>
          <w:ilvl w:val="0"/>
          <w:numId w:val="1"/>
        </w:numPr>
        <w:rPr>
          <w:rFonts w:ascii="Arial" w:hAnsi="Arial" w:cs="Arial"/>
          <w:sz w:val="28"/>
          <w:szCs w:val="28"/>
        </w:rPr>
      </w:pPr>
      <w:r w:rsidRPr="006429ED">
        <w:rPr>
          <w:rStyle w:val="Strong"/>
          <w:rFonts w:ascii="Arial" w:eastAsiaTheme="majorEastAsia" w:hAnsi="Arial" w:cs="Arial"/>
          <w:sz w:val="28"/>
          <w:szCs w:val="28"/>
        </w:rPr>
        <w:t>Taxable Supplies</w:t>
      </w:r>
      <w:r w:rsidRPr="006429ED">
        <w:rPr>
          <w:rFonts w:ascii="Arial" w:hAnsi="Arial" w:cs="Arial"/>
          <w:sz w:val="28"/>
          <w:szCs w:val="28"/>
        </w:rPr>
        <w:t xml:space="preserve"> – Supplies on which GST is payable, including intra-state and inter-state supplies.</w:t>
      </w:r>
    </w:p>
    <w:p w14:paraId="148532E7" w14:textId="77777777" w:rsidR="006429ED" w:rsidRPr="006429ED" w:rsidRDefault="006429ED" w:rsidP="006429ED">
      <w:pPr>
        <w:pStyle w:val="NormalWeb"/>
        <w:numPr>
          <w:ilvl w:val="0"/>
          <w:numId w:val="1"/>
        </w:numPr>
        <w:rPr>
          <w:rFonts w:ascii="Arial" w:hAnsi="Arial" w:cs="Arial"/>
          <w:sz w:val="28"/>
          <w:szCs w:val="28"/>
        </w:rPr>
      </w:pPr>
      <w:r w:rsidRPr="006429ED">
        <w:rPr>
          <w:rStyle w:val="Strong"/>
          <w:rFonts w:ascii="Arial" w:eastAsiaTheme="majorEastAsia" w:hAnsi="Arial" w:cs="Arial"/>
          <w:sz w:val="28"/>
          <w:szCs w:val="28"/>
        </w:rPr>
        <w:t>Exempt Supplies</w:t>
      </w:r>
      <w:r w:rsidRPr="006429ED">
        <w:rPr>
          <w:rFonts w:ascii="Arial" w:hAnsi="Arial" w:cs="Arial"/>
          <w:sz w:val="28"/>
          <w:szCs w:val="28"/>
        </w:rPr>
        <w:t xml:space="preserve"> – Supplies which are exempt from GST, including nil-rated and non-taxable goods or services.</w:t>
      </w:r>
    </w:p>
    <w:p w14:paraId="54FE83A3" w14:textId="77777777" w:rsidR="006429ED" w:rsidRPr="006429ED" w:rsidRDefault="006429ED" w:rsidP="006429ED">
      <w:pPr>
        <w:pStyle w:val="NormalWeb"/>
        <w:numPr>
          <w:ilvl w:val="0"/>
          <w:numId w:val="1"/>
        </w:numPr>
        <w:rPr>
          <w:rFonts w:ascii="Arial" w:hAnsi="Arial" w:cs="Arial"/>
          <w:sz w:val="28"/>
          <w:szCs w:val="28"/>
        </w:rPr>
      </w:pPr>
      <w:r w:rsidRPr="006429ED">
        <w:rPr>
          <w:rStyle w:val="Strong"/>
          <w:rFonts w:ascii="Arial" w:eastAsiaTheme="majorEastAsia" w:hAnsi="Arial" w:cs="Arial"/>
          <w:sz w:val="28"/>
          <w:szCs w:val="28"/>
        </w:rPr>
        <w:t>Exports</w:t>
      </w:r>
      <w:r w:rsidRPr="006429ED">
        <w:rPr>
          <w:rFonts w:ascii="Arial" w:hAnsi="Arial" w:cs="Arial"/>
          <w:sz w:val="28"/>
          <w:szCs w:val="28"/>
        </w:rPr>
        <w:t xml:space="preserve"> – Export of goods or services or both (considered as zero-rated supplies under GST).</w:t>
      </w:r>
    </w:p>
    <w:p w14:paraId="430CD523" w14:textId="77777777" w:rsidR="006429ED" w:rsidRPr="006429ED" w:rsidRDefault="006429ED" w:rsidP="006429ED">
      <w:pPr>
        <w:pStyle w:val="NormalWeb"/>
        <w:numPr>
          <w:ilvl w:val="0"/>
          <w:numId w:val="1"/>
        </w:numPr>
        <w:rPr>
          <w:rFonts w:ascii="Arial" w:hAnsi="Arial" w:cs="Arial"/>
          <w:sz w:val="28"/>
          <w:szCs w:val="28"/>
        </w:rPr>
      </w:pPr>
      <w:r w:rsidRPr="006429ED">
        <w:rPr>
          <w:rStyle w:val="Strong"/>
          <w:rFonts w:ascii="Arial" w:eastAsiaTheme="majorEastAsia" w:hAnsi="Arial" w:cs="Arial"/>
          <w:sz w:val="28"/>
          <w:szCs w:val="28"/>
        </w:rPr>
        <w:t>Inter-State Supplies between Distinct Persons</w:t>
      </w:r>
      <w:r w:rsidRPr="006429ED">
        <w:rPr>
          <w:rFonts w:ascii="Arial" w:hAnsi="Arial" w:cs="Arial"/>
          <w:sz w:val="28"/>
          <w:szCs w:val="28"/>
        </w:rPr>
        <w:t xml:space="preserve"> – Supplies between branches or units of the same legal entity (having the same PAN) located in different states or union territories.</w:t>
      </w:r>
    </w:p>
    <w:p w14:paraId="5E598025" w14:textId="77777777" w:rsidR="006429ED" w:rsidRPr="006429ED" w:rsidRDefault="006429ED" w:rsidP="006429ED">
      <w:pPr>
        <w:pStyle w:val="Heading4"/>
        <w:rPr>
          <w:rFonts w:ascii="Arial" w:hAnsi="Arial" w:cs="Arial"/>
          <w:sz w:val="28"/>
          <w:szCs w:val="28"/>
        </w:rPr>
      </w:pPr>
      <w:r w:rsidRPr="006429ED">
        <w:rPr>
          <w:rStyle w:val="Strong"/>
          <w:rFonts w:ascii="Arial" w:hAnsi="Arial" w:cs="Arial"/>
          <w:b w:val="0"/>
          <w:bCs w:val="0"/>
          <w:sz w:val="28"/>
          <w:szCs w:val="28"/>
        </w:rPr>
        <w:t>Excluded from Aggregate Turnover:</w:t>
      </w:r>
    </w:p>
    <w:p w14:paraId="2A9602E1" w14:textId="77777777" w:rsidR="006429ED" w:rsidRPr="006429ED" w:rsidRDefault="006429ED" w:rsidP="006429ED">
      <w:pPr>
        <w:pStyle w:val="NormalWeb"/>
        <w:numPr>
          <w:ilvl w:val="0"/>
          <w:numId w:val="2"/>
        </w:numPr>
        <w:rPr>
          <w:rFonts w:ascii="Arial" w:hAnsi="Arial" w:cs="Arial"/>
          <w:sz w:val="28"/>
          <w:szCs w:val="28"/>
        </w:rPr>
      </w:pPr>
      <w:r w:rsidRPr="006429ED">
        <w:rPr>
          <w:rStyle w:val="Strong"/>
          <w:rFonts w:ascii="Arial" w:eastAsiaTheme="majorEastAsia" w:hAnsi="Arial" w:cs="Arial"/>
          <w:sz w:val="28"/>
          <w:szCs w:val="28"/>
        </w:rPr>
        <w:t>Inward Supplies under Reverse Charge</w:t>
      </w:r>
      <w:r w:rsidRPr="006429ED">
        <w:rPr>
          <w:rFonts w:ascii="Arial" w:hAnsi="Arial" w:cs="Arial"/>
          <w:sz w:val="28"/>
          <w:szCs w:val="28"/>
        </w:rPr>
        <w:t xml:space="preserve"> – Purchases or services received for which the recipient is liable to pay GST under the Reverse Charge Mechanism (RCM) are not included.</w:t>
      </w:r>
    </w:p>
    <w:p w14:paraId="57F939BE" w14:textId="77777777" w:rsidR="006429ED" w:rsidRPr="006429ED" w:rsidRDefault="006429ED" w:rsidP="006429ED">
      <w:pPr>
        <w:pStyle w:val="NormalWeb"/>
        <w:ind w:left="720"/>
        <w:rPr>
          <w:rFonts w:ascii="Arial" w:hAnsi="Arial" w:cs="Arial"/>
          <w:sz w:val="28"/>
          <w:szCs w:val="28"/>
        </w:rPr>
      </w:pPr>
      <w:r w:rsidRPr="006429ED">
        <w:rPr>
          <w:rStyle w:val="Emphasis"/>
          <w:rFonts w:ascii="Arial" w:eastAsiaTheme="majorEastAsia" w:hAnsi="Arial" w:cs="Arial"/>
          <w:sz w:val="28"/>
          <w:szCs w:val="28"/>
        </w:rPr>
        <w:t>For example: Services from Goods Transport Agencies (GTA) or imports of services.</w:t>
      </w:r>
    </w:p>
    <w:p w14:paraId="0F291D38" w14:textId="77777777" w:rsidR="006429ED" w:rsidRPr="006429ED" w:rsidRDefault="006429ED" w:rsidP="006429ED">
      <w:pPr>
        <w:pStyle w:val="NormalWeb"/>
        <w:numPr>
          <w:ilvl w:val="0"/>
          <w:numId w:val="2"/>
        </w:numPr>
        <w:rPr>
          <w:rFonts w:ascii="Arial" w:hAnsi="Arial" w:cs="Arial"/>
          <w:sz w:val="28"/>
          <w:szCs w:val="28"/>
        </w:rPr>
      </w:pPr>
      <w:r w:rsidRPr="006429ED">
        <w:rPr>
          <w:rStyle w:val="Strong"/>
          <w:rFonts w:ascii="Arial" w:eastAsiaTheme="majorEastAsia" w:hAnsi="Arial" w:cs="Arial"/>
          <w:sz w:val="28"/>
          <w:szCs w:val="28"/>
        </w:rPr>
        <w:lastRenderedPageBreak/>
        <w:t>Taxes and Cess</w:t>
      </w:r>
      <w:r w:rsidRPr="006429ED">
        <w:rPr>
          <w:rFonts w:ascii="Arial" w:hAnsi="Arial" w:cs="Arial"/>
          <w:sz w:val="28"/>
          <w:szCs w:val="28"/>
        </w:rPr>
        <w:t xml:space="preserve"> – GST components such as CGST, SGST, UTGST, IGST, and Compensation Cess are explicitly excluded from the computation.</w:t>
      </w:r>
    </w:p>
    <w:p w14:paraId="3752B61A" w14:textId="77777777" w:rsidR="006429ED" w:rsidRPr="006429ED" w:rsidRDefault="006429ED" w:rsidP="006429ED">
      <w:pPr>
        <w:pStyle w:val="Heading3"/>
        <w:rPr>
          <w:rFonts w:ascii="Arial" w:hAnsi="Arial" w:cs="Arial"/>
          <w:szCs w:val="28"/>
        </w:rPr>
      </w:pPr>
      <w:r w:rsidRPr="006429ED">
        <w:rPr>
          <w:rFonts w:ascii="Arial" w:hAnsi="Arial" w:cs="Arial"/>
          <w:szCs w:val="28"/>
        </w:rPr>
        <w:t>Importance of Aggregate Turnover</w:t>
      </w:r>
    </w:p>
    <w:p w14:paraId="7B20C53B" w14:textId="77777777" w:rsidR="006429ED" w:rsidRPr="006429ED" w:rsidRDefault="006429ED" w:rsidP="006429ED">
      <w:pPr>
        <w:pStyle w:val="NormalWeb"/>
        <w:rPr>
          <w:rFonts w:ascii="Arial" w:hAnsi="Arial" w:cs="Arial"/>
          <w:sz w:val="28"/>
          <w:szCs w:val="28"/>
        </w:rPr>
      </w:pPr>
      <w:r w:rsidRPr="006429ED">
        <w:rPr>
          <w:rFonts w:ascii="Arial" w:hAnsi="Arial" w:cs="Arial"/>
          <w:sz w:val="28"/>
          <w:szCs w:val="28"/>
        </w:rPr>
        <w:t>The concept of aggregate turnover is pivotal under GST for multiple reasons:</w:t>
      </w:r>
    </w:p>
    <w:p w14:paraId="333B54B5" w14:textId="77777777" w:rsidR="006429ED" w:rsidRPr="006429ED" w:rsidRDefault="006429ED" w:rsidP="006429ED">
      <w:pPr>
        <w:pStyle w:val="NormalWeb"/>
        <w:numPr>
          <w:ilvl w:val="0"/>
          <w:numId w:val="3"/>
        </w:numPr>
        <w:rPr>
          <w:rFonts w:ascii="Arial" w:hAnsi="Arial" w:cs="Arial"/>
          <w:sz w:val="28"/>
          <w:szCs w:val="28"/>
        </w:rPr>
      </w:pPr>
      <w:r w:rsidRPr="006429ED">
        <w:rPr>
          <w:rStyle w:val="Strong"/>
          <w:rFonts w:ascii="Arial" w:eastAsiaTheme="majorEastAsia" w:hAnsi="Arial" w:cs="Arial"/>
          <w:sz w:val="28"/>
          <w:szCs w:val="28"/>
        </w:rPr>
        <w:t>Registration Threshold</w:t>
      </w:r>
      <w:proofErr w:type="gramStart"/>
      <w:r w:rsidRPr="006429ED">
        <w:rPr>
          <w:rStyle w:val="Strong"/>
          <w:rFonts w:ascii="Arial" w:eastAsiaTheme="majorEastAsia" w:hAnsi="Arial" w:cs="Arial"/>
          <w:sz w:val="28"/>
          <w:szCs w:val="28"/>
        </w:rPr>
        <w:t>:</w:t>
      </w:r>
      <w:proofErr w:type="gramEnd"/>
      <w:r w:rsidRPr="006429ED">
        <w:rPr>
          <w:rFonts w:ascii="Arial" w:hAnsi="Arial" w:cs="Arial"/>
          <w:sz w:val="28"/>
          <w:szCs w:val="28"/>
        </w:rPr>
        <w:br/>
        <w:t xml:space="preserve">A supplier is required to register under GST if their aggregate turnover exceeds ₹20 lakhs (₹10 lakhs for special category states except Jammu &amp; Kashmir and </w:t>
      </w:r>
      <w:proofErr w:type="spellStart"/>
      <w:r w:rsidRPr="006429ED">
        <w:rPr>
          <w:rFonts w:ascii="Arial" w:hAnsi="Arial" w:cs="Arial"/>
          <w:sz w:val="28"/>
          <w:szCs w:val="28"/>
        </w:rPr>
        <w:t>Uttarakhand</w:t>
      </w:r>
      <w:proofErr w:type="spellEnd"/>
      <w:r w:rsidRPr="006429ED">
        <w:rPr>
          <w:rFonts w:ascii="Arial" w:hAnsi="Arial" w:cs="Arial"/>
          <w:sz w:val="28"/>
          <w:szCs w:val="28"/>
        </w:rPr>
        <w:t>).</w:t>
      </w:r>
    </w:p>
    <w:p w14:paraId="062D695E" w14:textId="77777777" w:rsidR="006429ED" w:rsidRPr="006429ED" w:rsidRDefault="006429ED" w:rsidP="006429ED">
      <w:pPr>
        <w:pStyle w:val="NormalWeb"/>
        <w:numPr>
          <w:ilvl w:val="0"/>
          <w:numId w:val="3"/>
        </w:numPr>
        <w:rPr>
          <w:rFonts w:ascii="Arial" w:hAnsi="Arial" w:cs="Arial"/>
          <w:sz w:val="28"/>
          <w:szCs w:val="28"/>
        </w:rPr>
      </w:pPr>
      <w:r w:rsidRPr="006429ED">
        <w:rPr>
          <w:rStyle w:val="Strong"/>
          <w:rFonts w:ascii="Arial" w:eastAsiaTheme="majorEastAsia" w:hAnsi="Arial" w:cs="Arial"/>
          <w:sz w:val="28"/>
          <w:szCs w:val="28"/>
        </w:rPr>
        <w:t>Eligibility for Composition Scheme</w:t>
      </w:r>
      <w:proofErr w:type="gramStart"/>
      <w:r w:rsidRPr="006429ED">
        <w:rPr>
          <w:rStyle w:val="Strong"/>
          <w:rFonts w:ascii="Arial" w:eastAsiaTheme="majorEastAsia" w:hAnsi="Arial" w:cs="Arial"/>
          <w:sz w:val="28"/>
          <w:szCs w:val="28"/>
        </w:rPr>
        <w:t>:</w:t>
      </w:r>
      <w:proofErr w:type="gramEnd"/>
      <w:r w:rsidRPr="006429ED">
        <w:rPr>
          <w:rFonts w:ascii="Arial" w:hAnsi="Arial" w:cs="Arial"/>
          <w:sz w:val="28"/>
          <w:szCs w:val="28"/>
        </w:rPr>
        <w:br/>
        <w:t>Aggregate turnover is the basis for determining eligibility for opting into the Composition Scheme, a simplified compliance mechanism for small taxpayers.</w:t>
      </w:r>
    </w:p>
    <w:p w14:paraId="172FE4D0" w14:textId="77777777" w:rsidR="006429ED" w:rsidRPr="006429ED" w:rsidRDefault="006429ED" w:rsidP="006429ED">
      <w:pPr>
        <w:pStyle w:val="Heading3"/>
        <w:rPr>
          <w:rFonts w:ascii="Arial" w:hAnsi="Arial" w:cs="Arial"/>
          <w:szCs w:val="28"/>
        </w:rPr>
      </w:pPr>
      <w:r w:rsidRPr="006429ED">
        <w:rPr>
          <w:rFonts w:ascii="Arial" w:hAnsi="Arial" w:cs="Arial"/>
          <w:szCs w:val="28"/>
        </w:rPr>
        <w:t>All-India Basis vs. State-Wise Turnover</w:t>
      </w:r>
      <w:bookmarkStart w:id="0" w:name="_GoBack"/>
      <w:bookmarkEnd w:id="0"/>
    </w:p>
    <w:p w14:paraId="2369B2BE" w14:textId="77777777" w:rsidR="006429ED" w:rsidRPr="006429ED" w:rsidRDefault="006429ED" w:rsidP="006429ED">
      <w:pPr>
        <w:pStyle w:val="NormalWeb"/>
        <w:rPr>
          <w:rFonts w:ascii="Arial" w:hAnsi="Arial" w:cs="Arial"/>
          <w:sz w:val="28"/>
          <w:szCs w:val="28"/>
        </w:rPr>
      </w:pPr>
      <w:r w:rsidRPr="006429ED">
        <w:rPr>
          <w:rFonts w:ascii="Arial" w:hAnsi="Arial" w:cs="Arial"/>
          <w:sz w:val="28"/>
          <w:szCs w:val="28"/>
        </w:rPr>
        <w:t xml:space="preserve">It is important to distinguish </w:t>
      </w:r>
      <w:r w:rsidRPr="006429ED">
        <w:rPr>
          <w:rStyle w:val="Strong"/>
          <w:rFonts w:ascii="Arial" w:eastAsiaTheme="majorEastAsia" w:hAnsi="Arial" w:cs="Arial"/>
          <w:sz w:val="28"/>
          <w:szCs w:val="28"/>
        </w:rPr>
        <w:t>aggregate turnover</w:t>
      </w:r>
      <w:r w:rsidRPr="006429ED">
        <w:rPr>
          <w:rFonts w:ascii="Arial" w:hAnsi="Arial" w:cs="Arial"/>
          <w:sz w:val="28"/>
          <w:szCs w:val="28"/>
        </w:rPr>
        <w:t xml:space="preserve"> from </w:t>
      </w:r>
      <w:r w:rsidRPr="006429ED">
        <w:rPr>
          <w:rStyle w:val="Strong"/>
          <w:rFonts w:ascii="Arial" w:eastAsiaTheme="majorEastAsia" w:hAnsi="Arial" w:cs="Arial"/>
          <w:sz w:val="28"/>
          <w:szCs w:val="28"/>
        </w:rPr>
        <w:t>turnover in a State/UT</w:t>
      </w:r>
      <w:r w:rsidRPr="006429ED">
        <w:rPr>
          <w:rFonts w:ascii="Arial" w:hAnsi="Arial" w:cs="Arial"/>
          <w:sz w:val="28"/>
          <w:szCs w:val="28"/>
        </w:rPr>
        <w:t>:</w:t>
      </w:r>
    </w:p>
    <w:p w14:paraId="28FAD8D3" w14:textId="77777777" w:rsidR="006429ED" w:rsidRPr="006429ED" w:rsidRDefault="006429ED" w:rsidP="006429ED">
      <w:pPr>
        <w:pStyle w:val="NormalWeb"/>
        <w:numPr>
          <w:ilvl w:val="0"/>
          <w:numId w:val="4"/>
        </w:numPr>
        <w:rPr>
          <w:rFonts w:ascii="Arial" w:hAnsi="Arial" w:cs="Arial"/>
          <w:sz w:val="28"/>
          <w:szCs w:val="28"/>
        </w:rPr>
      </w:pPr>
      <w:r w:rsidRPr="006429ED">
        <w:rPr>
          <w:rStyle w:val="Strong"/>
          <w:rFonts w:ascii="Arial" w:eastAsiaTheme="majorEastAsia" w:hAnsi="Arial" w:cs="Arial"/>
          <w:sz w:val="28"/>
          <w:szCs w:val="28"/>
        </w:rPr>
        <w:t>Aggregate Turnover</w:t>
      </w:r>
      <w:r w:rsidRPr="006429ED">
        <w:rPr>
          <w:rFonts w:ascii="Arial" w:hAnsi="Arial" w:cs="Arial"/>
          <w:sz w:val="28"/>
          <w:szCs w:val="28"/>
        </w:rPr>
        <w:t xml:space="preserve"> is calculated on a </w:t>
      </w:r>
      <w:r w:rsidRPr="006429ED">
        <w:rPr>
          <w:rStyle w:val="Strong"/>
          <w:rFonts w:ascii="Arial" w:eastAsiaTheme="majorEastAsia" w:hAnsi="Arial" w:cs="Arial"/>
          <w:sz w:val="28"/>
          <w:szCs w:val="28"/>
        </w:rPr>
        <w:t>pan-India basis</w:t>
      </w:r>
      <w:r w:rsidRPr="006429ED">
        <w:rPr>
          <w:rFonts w:ascii="Arial" w:hAnsi="Arial" w:cs="Arial"/>
          <w:sz w:val="28"/>
          <w:szCs w:val="28"/>
        </w:rPr>
        <w:t xml:space="preserve"> for all GST registrations under a single PAN.</w:t>
      </w:r>
    </w:p>
    <w:p w14:paraId="3A5CDA2A" w14:textId="77777777" w:rsidR="006429ED" w:rsidRPr="006429ED" w:rsidRDefault="006429ED" w:rsidP="006429ED">
      <w:pPr>
        <w:pStyle w:val="NormalWeb"/>
        <w:numPr>
          <w:ilvl w:val="0"/>
          <w:numId w:val="4"/>
        </w:numPr>
        <w:rPr>
          <w:rFonts w:ascii="Arial" w:hAnsi="Arial" w:cs="Arial"/>
          <w:sz w:val="28"/>
          <w:szCs w:val="28"/>
        </w:rPr>
      </w:pPr>
      <w:r w:rsidRPr="006429ED">
        <w:rPr>
          <w:rStyle w:val="Strong"/>
          <w:rFonts w:ascii="Arial" w:eastAsiaTheme="majorEastAsia" w:hAnsi="Arial" w:cs="Arial"/>
          <w:sz w:val="28"/>
          <w:szCs w:val="28"/>
        </w:rPr>
        <w:t>Turnover in a State/UT</w:t>
      </w:r>
      <w:r w:rsidRPr="006429ED">
        <w:rPr>
          <w:rFonts w:ascii="Arial" w:hAnsi="Arial" w:cs="Arial"/>
          <w:sz w:val="28"/>
          <w:szCs w:val="28"/>
        </w:rPr>
        <w:t>, on the other hand, refers to the turnover within a particular state and is relevant for calculating tax liability under the Composition Scheme.</w:t>
      </w:r>
    </w:p>
    <w:p w14:paraId="3D964D0F" w14:textId="77777777" w:rsidR="006429ED" w:rsidRDefault="006429ED" w:rsidP="00512F5C">
      <w:pPr>
        <w:spacing w:after="453" w:line="250" w:lineRule="auto"/>
        <w:ind w:left="21" w:right="53" w:hanging="10"/>
        <w:jc w:val="both"/>
        <w:rPr>
          <w:rFonts w:ascii="Times New Roman" w:eastAsia="Times New Roman" w:hAnsi="Times New Roman" w:cs="Times New Roman"/>
          <w:color w:val="181717"/>
          <w:sz w:val="26"/>
        </w:rPr>
      </w:pPr>
    </w:p>
    <w:p w14:paraId="4A17051A" w14:textId="77777777" w:rsidR="006429ED" w:rsidRDefault="006429ED" w:rsidP="00512F5C">
      <w:pPr>
        <w:spacing w:after="453" w:line="250" w:lineRule="auto"/>
        <w:ind w:left="21" w:right="53" w:hanging="10"/>
        <w:jc w:val="both"/>
      </w:pPr>
    </w:p>
    <w:p w14:paraId="0E558164" w14:textId="77777777" w:rsidR="00F05661" w:rsidRDefault="00F05661"/>
    <w:sectPr w:rsidR="00F05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A046A"/>
    <w:multiLevelType w:val="multilevel"/>
    <w:tmpl w:val="EEA4B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2F712C"/>
    <w:multiLevelType w:val="multilevel"/>
    <w:tmpl w:val="0C90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E34028"/>
    <w:multiLevelType w:val="multilevel"/>
    <w:tmpl w:val="DB061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CE68A2"/>
    <w:multiLevelType w:val="multilevel"/>
    <w:tmpl w:val="A33E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661"/>
    <w:rsid w:val="00401F39"/>
    <w:rsid w:val="00512F5C"/>
    <w:rsid w:val="006429ED"/>
    <w:rsid w:val="00A56649"/>
    <w:rsid w:val="00F05661"/>
    <w:rsid w:val="00F177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F5C"/>
    <w:pPr>
      <w:spacing w:line="259" w:lineRule="auto"/>
    </w:pPr>
    <w:rPr>
      <w:rFonts w:ascii="Calibri" w:eastAsia="Calibri" w:hAnsi="Calibri" w:cs="Calibri"/>
      <w:color w:val="000000"/>
      <w:sz w:val="22"/>
      <w:lang w:eastAsia="en-IN"/>
    </w:rPr>
  </w:style>
  <w:style w:type="paragraph" w:styleId="Heading1">
    <w:name w:val="heading 1"/>
    <w:basedOn w:val="Normal"/>
    <w:next w:val="Normal"/>
    <w:link w:val="Heading1Char"/>
    <w:uiPriority w:val="9"/>
    <w:qFormat/>
    <w:rsid w:val="00F05661"/>
    <w:pPr>
      <w:keepNext/>
      <w:keepLines/>
      <w:spacing w:before="360" w:after="80" w:line="278" w:lineRule="auto"/>
      <w:outlineLvl w:val="0"/>
    </w:pPr>
    <w:rPr>
      <w:rFonts w:asciiTheme="majorHAnsi" w:eastAsiaTheme="majorEastAsia" w:hAnsiTheme="majorHAnsi" w:cstheme="majorBidi"/>
      <w:color w:val="0F4761" w:themeColor="accent1" w:themeShade="BF"/>
      <w:sz w:val="40"/>
      <w:szCs w:val="36"/>
      <w:lang w:eastAsia="en-US"/>
    </w:rPr>
  </w:style>
  <w:style w:type="paragraph" w:styleId="Heading2">
    <w:name w:val="heading 2"/>
    <w:basedOn w:val="Normal"/>
    <w:next w:val="Normal"/>
    <w:link w:val="Heading2Char"/>
    <w:uiPriority w:val="9"/>
    <w:semiHidden/>
    <w:unhideWhenUsed/>
    <w:qFormat/>
    <w:rsid w:val="00F05661"/>
    <w:pPr>
      <w:keepNext/>
      <w:keepLines/>
      <w:spacing w:before="160" w:after="80" w:line="278" w:lineRule="auto"/>
      <w:outlineLvl w:val="1"/>
    </w:pPr>
    <w:rPr>
      <w:rFonts w:asciiTheme="majorHAnsi" w:eastAsiaTheme="majorEastAsia" w:hAnsiTheme="majorHAnsi" w:cstheme="majorBidi"/>
      <w:color w:val="0F4761" w:themeColor="accent1" w:themeShade="BF"/>
      <w:sz w:val="32"/>
      <w:szCs w:val="29"/>
      <w:lang w:eastAsia="en-US"/>
    </w:rPr>
  </w:style>
  <w:style w:type="paragraph" w:styleId="Heading3">
    <w:name w:val="heading 3"/>
    <w:basedOn w:val="Normal"/>
    <w:next w:val="Normal"/>
    <w:link w:val="Heading3Char"/>
    <w:uiPriority w:val="9"/>
    <w:semiHidden/>
    <w:unhideWhenUsed/>
    <w:qFormat/>
    <w:rsid w:val="00F05661"/>
    <w:pPr>
      <w:keepNext/>
      <w:keepLines/>
      <w:spacing w:before="160" w:after="80" w:line="278" w:lineRule="auto"/>
      <w:outlineLvl w:val="2"/>
    </w:pPr>
    <w:rPr>
      <w:rFonts w:asciiTheme="minorHAnsi" w:eastAsiaTheme="majorEastAsia" w:hAnsiTheme="minorHAnsi" w:cstheme="majorBidi"/>
      <w:color w:val="0F4761" w:themeColor="accent1" w:themeShade="BF"/>
      <w:sz w:val="28"/>
      <w:szCs w:val="25"/>
      <w:lang w:eastAsia="en-US"/>
    </w:rPr>
  </w:style>
  <w:style w:type="paragraph" w:styleId="Heading4">
    <w:name w:val="heading 4"/>
    <w:basedOn w:val="Normal"/>
    <w:next w:val="Normal"/>
    <w:link w:val="Heading4Char"/>
    <w:uiPriority w:val="9"/>
    <w:semiHidden/>
    <w:unhideWhenUsed/>
    <w:qFormat/>
    <w:rsid w:val="00F05661"/>
    <w:pPr>
      <w:keepNext/>
      <w:keepLines/>
      <w:spacing w:before="80" w:after="40" w:line="278" w:lineRule="auto"/>
      <w:outlineLvl w:val="3"/>
    </w:pPr>
    <w:rPr>
      <w:rFonts w:asciiTheme="minorHAnsi" w:eastAsiaTheme="majorEastAsia" w:hAnsiTheme="minorHAnsi" w:cstheme="majorBidi"/>
      <w:i/>
      <w:iCs/>
      <w:color w:val="0F4761" w:themeColor="accent1" w:themeShade="BF"/>
      <w:sz w:val="24"/>
      <w:lang w:eastAsia="en-US"/>
    </w:rPr>
  </w:style>
  <w:style w:type="paragraph" w:styleId="Heading5">
    <w:name w:val="heading 5"/>
    <w:basedOn w:val="Normal"/>
    <w:next w:val="Normal"/>
    <w:link w:val="Heading5Char"/>
    <w:uiPriority w:val="9"/>
    <w:semiHidden/>
    <w:unhideWhenUsed/>
    <w:qFormat/>
    <w:rsid w:val="00F05661"/>
    <w:pPr>
      <w:keepNext/>
      <w:keepLines/>
      <w:spacing w:before="80" w:after="40" w:line="278" w:lineRule="auto"/>
      <w:outlineLvl w:val="4"/>
    </w:pPr>
    <w:rPr>
      <w:rFonts w:asciiTheme="minorHAnsi" w:eastAsiaTheme="majorEastAsia" w:hAnsiTheme="minorHAnsi" w:cstheme="majorBidi"/>
      <w:color w:val="0F4761" w:themeColor="accent1" w:themeShade="BF"/>
      <w:sz w:val="24"/>
      <w:lang w:eastAsia="en-US"/>
    </w:rPr>
  </w:style>
  <w:style w:type="paragraph" w:styleId="Heading6">
    <w:name w:val="heading 6"/>
    <w:basedOn w:val="Normal"/>
    <w:next w:val="Normal"/>
    <w:link w:val="Heading6Char"/>
    <w:uiPriority w:val="9"/>
    <w:semiHidden/>
    <w:unhideWhenUsed/>
    <w:qFormat/>
    <w:rsid w:val="00F05661"/>
    <w:pPr>
      <w:keepNext/>
      <w:keepLines/>
      <w:spacing w:before="40" w:after="0" w:line="278" w:lineRule="auto"/>
      <w:outlineLvl w:val="5"/>
    </w:pPr>
    <w:rPr>
      <w:rFonts w:asciiTheme="minorHAnsi" w:eastAsiaTheme="majorEastAsia" w:hAnsiTheme="minorHAnsi" w:cstheme="majorBidi"/>
      <w:i/>
      <w:iCs/>
      <w:color w:val="595959" w:themeColor="text1" w:themeTint="A6"/>
      <w:sz w:val="24"/>
      <w:lang w:eastAsia="en-US"/>
    </w:rPr>
  </w:style>
  <w:style w:type="paragraph" w:styleId="Heading7">
    <w:name w:val="heading 7"/>
    <w:basedOn w:val="Normal"/>
    <w:next w:val="Normal"/>
    <w:link w:val="Heading7Char"/>
    <w:uiPriority w:val="9"/>
    <w:semiHidden/>
    <w:unhideWhenUsed/>
    <w:qFormat/>
    <w:rsid w:val="00F05661"/>
    <w:pPr>
      <w:keepNext/>
      <w:keepLines/>
      <w:spacing w:before="40" w:after="0" w:line="278" w:lineRule="auto"/>
      <w:outlineLvl w:val="6"/>
    </w:pPr>
    <w:rPr>
      <w:rFonts w:asciiTheme="minorHAnsi" w:eastAsiaTheme="majorEastAsia" w:hAnsiTheme="minorHAnsi" w:cstheme="majorBidi"/>
      <w:color w:val="595959" w:themeColor="text1" w:themeTint="A6"/>
      <w:sz w:val="24"/>
      <w:lang w:eastAsia="en-US"/>
    </w:rPr>
  </w:style>
  <w:style w:type="paragraph" w:styleId="Heading8">
    <w:name w:val="heading 8"/>
    <w:basedOn w:val="Normal"/>
    <w:next w:val="Normal"/>
    <w:link w:val="Heading8Char"/>
    <w:uiPriority w:val="9"/>
    <w:semiHidden/>
    <w:unhideWhenUsed/>
    <w:qFormat/>
    <w:rsid w:val="00F05661"/>
    <w:pPr>
      <w:keepNext/>
      <w:keepLines/>
      <w:spacing w:after="0" w:line="278" w:lineRule="auto"/>
      <w:outlineLvl w:val="7"/>
    </w:pPr>
    <w:rPr>
      <w:rFonts w:asciiTheme="minorHAnsi" w:eastAsiaTheme="majorEastAsia" w:hAnsiTheme="minorHAnsi" w:cstheme="majorBidi"/>
      <w:i/>
      <w:iCs/>
      <w:color w:val="272727" w:themeColor="text1" w:themeTint="D8"/>
      <w:sz w:val="24"/>
      <w:lang w:eastAsia="en-US"/>
    </w:rPr>
  </w:style>
  <w:style w:type="paragraph" w:styleId="Heading9">
    <w:name w:val="heading 9"/>
    <w:basedOn w:val="Normal"/>
    <w:next w:val="Normal"/>
    <w:link w:val="Heading9Char"/>
    <w:uiPriority w:val="9"/>
    <w:semiHidden/>
    <w:unhideWhenUsed/>
    <w:qFormat/>
    <w:rsid w:val="00F05661"/>
    <w:pPr>
      <w:keepNext/>
      <w:keepLines/>
      <w:spacing w:after="0" w:line="278" w:lineRule="auto"/>
      <w:outlineLvl w:val="8"/>
    </w:pPr>
    <w:rPr>
      <w:rFonts w:asciiTheme="minorHAnsi" w:eastAsiaTheme="majorEastAsia" w:hAnsiTheme="minorHAnsi" w:cstheme="majorBidi"/>
      <w:color w:val="272727" w:themeColor="text1" w:themeTint="D8"/>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566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F0566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F0566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05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661"/>
    <w:rPr>
      <w:rFonts w:eastAsiaTheme="majorEastAsia" w:cstheme="majorBidi"/>
      <w:color w:val="272727" w:themeColor="text1" w:themeTint="D8"/>
    </w:rPr>
  </w:style>
  <w:style w:type="paragraph" w:styleId="Title">
    <w:name w:val="Title"/>
    <w:basedOn w:val="Normal"/>
    <w:next w:val="Normal"/>
    <w:link w:val="TitleChar"/>
    <w:uiPriority w:val="10"/>
    <w:qFormat/>
    <w:rsid w:val="00F05661"/>
    <w:pPr>
      <w:spacing w:after="80" w:line="240" w:lineRule="auto"/>
      <w:contextualSpacing/>
    </w:pPr>
    <w:rPr>
      <w:rFonts w:asciiTheme="majorHAnsi" w:eastAsiaTheme="majorEastAsia" w:hAnsiTheme="majorHAnsi" w:cstheme="majorBidi"/>
      <w:color w:val="auto"/>
      <w:spacing w:val="-10"/>
      <w:kern w:val="28"/>
      <w:sz w:val="56"/>
      <w:szCs w:val="50"/>
      <w:lang w:eastAsia="en-US"/>
    </w:rPr>
  </w:style>
  <w:style w:type="character" w:customStyle="1" w:styleId="TitleChar">
    <w:name w:val="Title Char"/>
    <w:basedOn w:val="DefaultParagraphFont"/>
    <w:link w:val="Title"/>
    <w:uiPriority w:val="10"/>
    <w:rsid w:val="00F0566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05661"/>
    <w:pPr>
      <w:numPr>
        <w:ilvl w:val="1"/>
      </w:numPr>
      <w:spacing w:line="278" w:lineRule="auto"/>
    </w:pPr>
    <w:rPr>
      <w:rFonts w:asciiTheme="minorHAnsi" w:eastAsiaTheme="majorEastAsia" w:hAnsiTheme="minorHAnsi" w:cstheme="majorBidi"/>
      <w:color w:val="595959" w:themeColor="text1" w:themeTint="A6"/>
      <w:spacing w:val="15"/>
      <w:sz w:val="28"/>
      <w:szCs w:val="25"/>
      <w:lang w:eastAsia="en-US"/>
    </w:rPr>
  </w:style>
  <w:style w:type="character" w:customStyle="1" w:styleId="SubtitleChar">
    <w:name w:val="Subtitle Char"/>
    <w:basedOn w:val="DefaultParagraphFont"/>
    <w:link w:val="Subtitle"/>
    <w:uiPriority w:val="11"/>
    <w:rsid w:val="00F0566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05661"/>
    <w:pPr>
      <w:spacing w:before="160" w:line="278" w:lineRule="auto"/>
      <w:jc w:val="center"/>
    </w:pPr>
    <w:rPr>
      <w:rFonts w:asciiTheme="minorHAnsi" w:eastAsiaTheme="minorHAnsi" w:hAnsiTheme="minorHAnsi" w:cstheme="minorBidi"/>
      <w:i/>
      <w:iCs/>
      <w:color w:val="404040" w:themeColor="text1" w:themeTint="BF"/>
      <w:sz w:val="24"/>
      <w:lang w:eastAsia="en-US"/>
    </w:rPr>
  </w:style>
  <w:style w:type="character" w:customStyle="1" w:styleId="QuoteChar">
    <w:name w:val="Quote Char"/>
    <w:basedOn w:val="DefaultParagraphFont"/>
    <w:link w:val="Quote"/>
    <w:uiPriority w:val="29"/>
    <w:rsid w:val="00F05661"/>
    <w:rPr>
      <w:i/>
      <w:iCs/>
      <w:color w:val="404040" w:themeColor="text1" w:themeTint="BF"/>
    </w:rPr>
  </w:style>
  <w:style w:type="paragraph" w:styleId="ListParagraph">
    <w:name w:val="List Paragraph"/>
    <w:basedOn w:val="Normal"/>
    <w:uiPriority w:val="34"/>
    <w:qFormat/>
    <w:rsid w:val="00F05661"/>
    <w:pPr>
      <w:spacing w:line="278" w:lineRule="auto"/>
      <w:ind w:left="720"/>
      <w:contextualSpacing/>
    </w:pPr>
    <w:rPr>
      <w:rFonts w:asciiTheme="minorHAnsi" w:eastAsiaTheme="minorHAnsi" w:hAnsiTheme="minorHAnsi" w:cstheme="minorBidi"/>
      <w:color w:val="auto"/>
      <w:sz w:val="24"/>
      <w:lang w:eastAsia="en-US"/>
    </w:rPr>
  </w:style>
  <w:style w:type="character" w:styleId="IntenseEmphasis">
    <w:name w:val="Intense Emphasis"/>
    <w:basedOn w:val="DefaultParagraphFont"/>
    <w:uiPriority w:val="21"/>
    <w:qFormat/>
    <w:rsid w:val="00F05661"/>
    <w:rPr>
      <w:i/>
      <w:iCs/>
      <w:color w:val="0F4761" w:themeColor="accent1" w:themeShade="BF"/>
    </w:rPr>
  </w:style>
  <w:style w:type="paragraph" w:styleId="IntenseQuote">
    <w:name w:val="Intense Quote"/>
    <w:basedOn w:val="Normal"/>
    <w:next w:val="Normal"/>
    <w:link w:val="IntenseQuoteChar"/>
    <w:uiPriority w:val="30"/>
    <w:qFormat/>
    <w:rsid w:val="00F0566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sz w:val="24"/>
      <w:lang w:eastAsia="en-US"/>
    </w:rPr>
  </w:style>
  <w:style w:type="character" w:customStyle="1" w:styleId="IntenseQuoteChar">
    <w:name w:val="Intense Quote Char"/>
    <w:basedOn w:val="DefaultParagraphFont"/>
    <w:link w:val="IntenseQuote"/>
    <w:uiPriority w:val="30"/>
    <w:rsid w:val="00F05661"/>
    <w:rPr>
      <w:i/>
      <w:iCs/>
      <w:color w:val="0F4761" w:themeColor="accent1" w:themeShade="BF"/>
    </w:rPr>
  </w:style>
  <w:style w:type="character" w:styleId="IntenseReference">
    <w:name w:val="Intense Reference"/>
    <w:basedOn w:val="DefaultParagraphFont"/>
    <w:uiPriority w:val="32"/>
    <w:qFormat/>
    <w:rsid w:val="00F05661"/>
    <w:rPr>
      <w:b/>
      <w:bCs/>
      <w:smallCaps/>
      <w:color w:val="0F4761" w:themeColor="accent1" w:themeShade="BF"/>
      <w:spacing w:val="5"/>
    </w:rPr>
  </w:style>
  <w:style w:type="paragraph" w:styleId="NormalWeb">
    <w:name w:val="Normal (Web)"/>
    <w:basedOn w:val="Normal"/>
    <w:uiPriority w:val="99"/>
    <w:semiHidden/>
    <w:unhideWhenUsed/>
    <w:rsid w:val="006429ED"/>
    <w:pPr>
      <w:spacing w:before="100" w:beforeAutospacing="1" w:after="100" w:afterAutospacing="1" w:line="240" w:lineRule="auto"/>
    </w:pPr>
    <w:rPr>
      <w:rFonts w:ascii="Times New Roman" w:eastAsia="Times New Roman" w:hAnsi="Times New Roman" w:cs="Times New Roman"/>
      <w:color w:val="auto"/>
      <w:kern w:val="0"/>
      <w:sz w:val="24"/>
      <w:szCs w:val="24"/>
      <w:lang w:bidi="ar-SA"/>
      <w14:ligatures w14:val="none"/>
    </w:rPr>
  </w:style>
  <w:style w:type="character" w:styleId="Emphasis">
    <w:name w:val="Emphasis"/>
    <w:basedOn w:val="DefaultParagraphFont"/>
    <w:uiPriority w:val="20"/>
    <w:qFormat/>
    <w:rsid w:val="006429ED"/>
    <w:rPr>
      <w:i/>
      <w:iCs/>
    </w:rPr>
  </w:style>
  <w:style w:type="character" w:styleId="Strong">
    <w:name w:val="Strong"/>
    <w:basedOn w:val="DefaultParagraphFont"/>
    <w:uiPriority w:val="22"/>
    <w:qFormat/>
    <w:rsid w:val="006429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F5C"/>
    <w:pPr>
      <w:spacing w:line="259" w:lineRule="auto"/>
    </w:pPr>
    <w:rPr>
      <w:rFonts w:ascii="Calibri" w:eastAsia="Calibri" w:hAnsi="Calibri" w:cs="Calibri"/>
      <w:color w:val="000000"/>
      <w:sz w:val="22"/>
      <w:lang w:eastAsia="en-IN"/>
    </w:rPr>
  </w:style>
  <w:style w:type="paragraph" w:styleId="Heading1">
    <w:name w:val="heading 1"/>
    <w:basedOn w:val="Normal"/>
    <w:next w:val="Normal"/>
    <w:link w:val="Heading1Char"/>
    <w:uiPriority w:val="9"/>
    <w:qFormat/>
    <w:rsid w:val="00F05661"/>
    <w:pPr>
      <w:keepNext/>
      <w:keepLines/>
      <w:spacing w:before="360" w:after="80" w:line="278" w:lineRule="auto"/>
      <w:outlineLvl w:val="0"/>
    </w:pPr>
    <w:rPr>
      <w:rFonts w:asciiTheme="majorHAnsi" w:eastAsiaTheme="majorEastAsia" w:hAnsiTheme="majorHAnsi" w:cstheme="majorBidi"/>
      <w:color w:val="0F4761" w:themeColor="accent1" w:themeShade="BF"/>
      <w:sz w:val="40"/>
      <w:szCs w:val="36"/>
      <w:lang w:eastAsia="en-US"/>
    </w:rPr>
  </w:style>
  <w:style w:type="paragraph" w:styleId="Heading2">
    <w:name w:val="heading 2"/>
    <w:basedOn w:val="Normal"/>
    <w:next w:val="Normal"/>
    <w:link w:val="Heading2Char"/>
    <w:uiPriority w:val="9"/>
    <w:semiHidden/>
    <w:unhideWhenUsed/>
    <w:qFormat/>
    <w:rsid w:val="00F05661"/>
    <w:pPr>
      <w:keepNext/>
      <w:keepLines/>
      <w:spacing w:before="160" w:after="80" w:line="278" w:lineRule="auto"/>
      <w:outlineLvl w:val="1"/>
    </w:pPr>
    <w:rPr>
      <w:rFonts w:asciiTheme="majorHAnsi" w:eastAsiaTheme="majorEastAsia" w:hAnsiTheme="majorHAnsi" w:cstheme="majorBidi"/>
      <w:color w:val="0F4761" w:themeColor="accent1" w:themeShade="BF"/>
      <w:sz w:val="32"/>
      <w:szCs w:val="29"/>
      <w:lang w:eastAsia="en-US"/>
    </w:rPr>
  </w:style>
  <w:style w:type="paragraph" w:styleId="Heading3">
    <w:name w:val="heading 3"/>
    <w:basedOn w:val="Normal"/>
    <w:next w:val="Normal"/>
    <w:link w:val="Heading3Char"/>
    <w:uiPriority w:val="9"/>
    <w:semiHidden/>
    <w:unhideWhenUsed/>
    <w:qFormat/>
    <w:rsid w:val="00F05661"/>
    <w:pPr>
      <w:keepNext/>
      <w:keepLines/>
      <w:spacing w:before="160" w:after="80" w:line="278" w:lineRule="auto"/>
      <w:outlineLvl w:val="2"/>
    </w:pPr>
    <w:rPr>
      <w:rFonts w:asciiTheme="minorHAnsi" w:eastAsiaTheme="majorEastAsia" w:hAnsiTheme="minorHAnsi" w:cstheme="majorBidi"/>
      <w:color w:val="0F4761" w:themeColor="accent1" w:themeShade="BF"/>
      <w:sz w:val="28"/>
      <w:szCs w:val="25"/>
      <w:lang w:eastAsia="en-US"/>
    </w:rPr>
  </w:style>
  <w:style w:type="paragraph" w:styleId="Heading4">
    <w:name w:val="heading 4"/>
    <w:basedOn w:val="Normal"/>
    <w:next w:val="Normal"/>
    <w:link w:val="Heading4Char"/>
    <w:uiPriority w:val="9"/>
    <w:semiHidden/>
    <w:unhideWhenUsed/>
    <w:qFormat/>
    <w:rsid w:val="00F05661"/>
    <w:pPr>
      <w:keepNext/>
      <w:keepLines/>
      <w:spacing w:before="80" w:after="40" w:line="278" w:lineRule="auto"/>
      <w:outlineLvl w:val="3"/>
    </w:pPr>
    <w:rPr>
      <w:rFonts w:asciiTheme="minorHAnsi" w:eastAsiaTheme="majorEastAsia" w:hAnsiTheme="minorHAnsi" w:cstheme="majorBidi"/>
      <w:i/>
      <w:iCs/>
      <w:color w:val="0F4761" w:themeColor="accent1" w:themeShade="BF"/>
      <w:sz w:val="24"/>
      <w:lang w:eastAsia="en-US"/>
    </w:rPr>
  </w:style>
  <w:style w:type="paragraph" w:styleId="Heading5">
    <w:name w:val="heading 5"/>
    <w:basedOn w:val="Normal"/>
    <w:next w:val="Normal"/>
    <w:link w:val="Heading5Char"/>
    <w:uiPriority w:val="9"/>
    <w:semiHidden/>
    <w:unhideWhenUsed/>
    <w:qFormat/>
    <w:rsid w:val="00F05661"/>
    <w:pPr>
      <w:keepNext/>
      <w:keepLines/>
      <w:spacing w:before="80" w:after="40" w:line="278" w:lineRule="auto"/>
      <w:outlineLvl w:val="4"/>
    </w:pPr>
    <w:rPr>
      <w:rFonts w:asciiTheme="minorHAnsi" w:eastAsiaTheme="majorEastAsia" w:hAnsiTheme="minorHAnsi" w:cstheme="majorBidi"/>
      <w:color w:val="0F4761" w:themeColor="accent1" w:themeShade="BF"/>
      <w:sz w:val="24"/>
      <w:lang w:eastAsia="en-US"/>
    </w:rPr>
  </w:style>
  <w:style w:type="paragraph" w:styleId="Heading6">
    <w:name w:val="heading 6"/>
    <w:basedOn w:val="Normal"/>
    <w:next w:val="Normal"/>
    <w:link w:val="Heading6Char"/>
    <w:uiPriority w:val="9"/>
    <w:semiHidden/>
    <w:unhideWhenUsed/>
    <w:qFormat/>
    <w:rsid w:val="00F05661"/>
    <w:pPr>
      <w:keepNext/>
      <w:keepLines/>
      <w:spacing w:before="40" w:after="0" w:line="278" w:lineRule="auto"/>
      <w:outlineLvl w:val="5"/>
    </w:pPr>
    <w:rPr>
      <w:rFonts w:asciiTheme="minorHAnsi" w:eastAsiaTheme="majorEastAsia" w:hAnsiTheme="minorHAnsi" w:cstheme="majorBidi"/>
      <w:i/>
      <w:iCs/>
      <w:color w:val="595959" w:themeColor="text1" w:themeTint="A6"/>
      <w:sz w:val="24"/>
      <w:lang w:eastAsia="en-US"/>
    </w:rPr>
  </w:style>
  <w:style w:type="paragraph" w:styleId="Heading7">
    <w:name w:val="heading 7"/>
    <w:basedOn w:val="Normal"/>
    <w:next w:val="Normal"/>
    <w:link w:val="Heading7Char"/>
    <w:uiPriority w:val="9"/>
    <w:semiHidden/>
    <w:unhideWhenUsed/>
    <w:qFormat/>
    <w:rsid w:val="00F05661"/>
    <w:pPr>
      <w:keepNext/>
      <w:keepLines/>
      <w:spacing w:before="40" w:after="0" w:line="278" w:lineRule="auto"/>
      <w:outlineLvl w:val="6"/>
    </w:pPr>
    <w:rPr>
      <w:rFonts w:asciiTheme="minorHAnsi" w:eastAsiaTheme="majorEastAsia" w:hAnsiTheme="minorHAnsi" w:cstheme="majorBidi"/>
      <w:color w:val="595959" w:themeColor="text1" w:themeTint="A6"/>
      <w:sz w:val="24"/>
      <w:lang w:eastAsia="en-US"/>
    </w:rPr>
  </w:style>
  <w:style w:type="paragraph" w:styleId="Heading8">
    <w:name w:val="heading 8"/>
    <w:basedOn w:val="Normal"/>
    <w:next w:val="Normal"/>
    <w:link w:val="Heading8Char"/>
    <w:uiPriority w:val="9"/>
    <w:semiHidden/>
    <w:unhideWhenUsed/>
    <w:qFormat/>
    <w:rsid w:val="00F05661"/>
    <w:pPr>
      <w:keepNext/>
      <w:keepLines/>
      <w:spacing w:after="0" w:line="278" w:lineRule="auto"/>
      <w:outlineLvl w:val="7"/>
    </w:pPr>
    <w:rPr>
      <w:rFonts w:asciiTheme="minorHAnsi" w:eastAsiaTheme="majorEastAsia" w:hAnsiTheme="minorHAnsi" w:cstheme="majorBidi"/>
      <w:i/>
      <w:iCs/>
      <w:color w:val="272727" w:themeColor="text1" w:themeTint="D8"/>
      <w:sz w:val="24"/>
      <w:lang w:eastAsia="en-US"/>
    </w:rPr>
  </w:style>
  <w:style w:type="paragraph" w:styleId="Heading9">
    <w:name w:val="heading 9"/>
    <w:basedOn w:val="Normal"/>
    <w:next w:val="Normal"/>
    <w:link w:val="Heading9Char"/>
    <w:uiPriority w:val="9"/>
    <w:semiHidden/>
    <w:unhideWhenUsed/>
    <w:qFormat/>
    <w:rsid w:val="00F05661"/>
    <w:pPr>
      <w:keepNext/>
      <w:keepLines/>
      <w:spacing w:after="0" w:line="278" w:lineRule="auto"/>
      <w:outlineLvl w:val="8"/>
    </w:pPr>
    <w:rPr>
      <w:rFonts w:asciiTheme="minorHAnsi" w:eastAsiaTheme="majorEastAsia" w:hAnsiTheme="minorHAnsi" w:cstheme="majorBidi"/>
      <w:color w:val="272727" w:themeColor="text1" w:themeTint="D8"/>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566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F0566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F0566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05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661"/>
    <w:rPr>
      <w:rFonts w:eastAsiaTheme="majorEastAsia" w:cstheme="majorBidi"/>
      <w:color w:val="272727" w:themeColor="text1" w:themeTint="D8"/>
    </w:rPr>
  </w:style>
  <w:style w:type="paragraph" w:styleId="Title">
    <w:name w:val="Title"/>
    <w:basedOn w:val="Normal"/>
    <w:next w:val="Normal"/>
    <w:link w:val="TitleChar"/>
    <w:uiPriority w:val="10"/>
    <w:qFormat/>
    <w:rsid w:val="00F05661"/>
    <w:pPr>
      <w:spacing w:after="80" w:line="240" w:lineRule="auto"/>
      <w:contextualSpacing/>
    </w:pPr>
    <w:rPr>
      <w:rFonts w:asciiTheme="majorHAnsi" w:eastAsiaTheme="majorEastAsia" w:hAnsiTheme="majorHAnsi" w:cstheme="majorBidi"/>
      <w:color w:val="auto"/>
      <w:spacing w:val="-10"/>
      <w:kern w:val="28"/>
      <w:sz w:val="56"/>
      <w:szCs w:val="50"/>
      <w:lang w:eastAsia="en-US"/>
    </w:rPr>
  </w:style>
  <w:style w:type="character" w:customStyle="1" w:styleId="TitleChar">
    <w:name w:val="Title Char"/>
    <w:basedOn w:val="DefaultParagraphFont"/>
    <w:link w:val="Title"/>
    <w:uiPriority w:val="10"/>
    <w:rsid w:val="00F0566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05661"/>
    <w:pPr>
      <w:numPr>
        <w:ilvl w:val="1"/>
      </w:numPr>
      <w:spacing w:line="278" w:lineRule="auto"/>
    </w:pPr>
    <w:rPr>
      <w:rFonts w:asciiTheme="minorHAnsi" w:eastAsiaTheme="majorEastAsia" w:hAnsiTheme="minorHAnsi" w:cstheme="majorBidi"/>
      <w:color w:val="595959" w:themeColor="text1" w:themeTint="A6"/>
      <w:spacing w:val="15"/>
      <w:sz w:val="28"/>
      <w:szCs w:val="25"/>
      <w:lang w:eastAsia="en-US"/>
    </w:rPr>
  </w:style>
  <w:style w:type="character" w:customStyle="1" w:styleId="SubtitleChar">
    <w:name w:val="Subtitle Char"/>
    <w:basedOn w:val="DefaultParagraphFont"/>
    <w:link w:val="Subtitle"/>
    <w:uiPriority w:val="11"/>
    <w:rsid w:val="00F0566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05661"/>
    <w:pPr>
      <w:spacing w:before="160" w:line="278" w:lineRule="auto"/>
      <w:jc w:val="center"/>
    </w:pPr>
    <w:rPr>
      <w:rFonts w:asciiTheme="minorHAnsi" w:eastAsiaTheme="minorHAnsi" w:hAnsiTheme="minorHAnsi" w:cstheme="minorBidi"/>
      <w:i/>
      <w:iCs/>
      <w:color w:val="404040" w:themeColor="text1" w:themeTint="BF"/>
      <w:sz w:val="24"/>
      <w:lang w:eastAsia="en-US"/>
    </w:rPr>
  </w:style>
  <w:style w:type="character" w:customStyle="1" w:styleId="QuoteChar">
    <w:name w:val="Quote Char"/>
    <w:basedOn w:val="DefaultParagraphFont"/>
    <w:link w:val="Quote"/>
    <w:uiPriority w:val="29"/>
    <w:rsid w:val="00F05661"/>
    <w:rPr>
      <w:i/>
      <w:iCs/>
      <w:color w:val="404040" w:themeColor="text1" w:themeTint="BF"/>
    </w:rPr>
  </w:style>
  <w:style w:type="paragraph" w:styleId="ListParagraph">
    <w:name w:val="List Paragraph"/>
    <w:basedOn w:val="Normal"/>
    <w:uiPriority w:val="34"/>
    <w:qFormat/>
    <w:rsid w:val="00F05661"/>
    <w:pPr>
      <w:spacing w:line="278" w:lineRule="auto"/>
      <w:ind w:left="720"/>
      <w:contextualSpacing/>
    </w:pPr>
    <w:rPr>
      <w:rFonts w:asciiTheme="minorHAnsi" w:eastAsiaTheme="minorHAnsi" w:hAnsiTheme="minorHAnsi" w:cstheme="minorBidi"/>
      <w:color w:val="auto"/>
      <w:sz w:val="24"/>
      <w:lang w:eastAsia="en-US"/>
    </w:rPr>
  </w:style>
  <w:style w:type="character" w:styleId="IntenseEmphasis">
    <w:name w:val="Intense Emphasis"/>
    <w:basedOn w:val="DefaultParagraphFont"/>
    <w:uiPriority w:val="21"/>
    <w:qFormat/>
    <w:rsid w:val="00F05661"/>
    <w:rPr>
      <w:i/>
      <w:iCs/>
      <w:color w:val="0F4761" w:themeColor="accent1" w:themeShade="BF"/>
    </w:rPr>
  </w:style>
  <w:style w:type="paragraph" w:styleId="IntenseQuote">
    <w:name w:val="Intense Quote"/>
    <w:basedOn w:val="Normal"/>
    <w:next w:val="Normal"/>
    <w:link w:val="IntenseQuoteChar"/>
    <w:uiPriority w:val="30"/>
    <w:qFormat/>
    <w:rsid w:val="00F0566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sz w:val="24"/>
      <w:lang w:eastAsia="en-US"/>
    </w:rPr>
  </w:style>
  <w:style w:type="character" w:customStyle="1" w:styleId="IntenseQuoteChar">
    <w:name w:val="Intense Quote Char"/>
    <w:basedOn w:val="DefaultParagraphFont"/>
    <w:link w:val="IntenseQuote"/>
    <w:uiPriority w:val="30"/>
    <w:rsid w:val="00F05661"/>
    <w:rPr>
      <w:i/>
      <w:iCs/>
      <w:color w:val="0F4761" w:themeColor="accent1" w:themeShade="BF"/>
    </w:rPr>
  </w:style>
  <w:style w:type="character" w:styleId="IntenseReference">
    <w:name w:val="Intense Reference"/>
    <w:basedOn w:val="DefaultParagraphFont"/>
    <w:uiPriority w:val="32"/>
    <w:qFormat/>
    <w:rsid w:val="00F05661"/>
    <w:rPr>
      <w:b/>
      <w:bCs/>
      <w:smallCaps/>
      <w:color w:val="0F4761" w:themeColor="accent1" w:themeShade="BF"/>
      <w:spacing w:val="5"/>
    </w:rPr>
  </w:style>
  <w:style w:type="paragraph" w:styleId="NormalWeb">
    <w:name w:val="Normal (Web)"/>
    <w:basedOn w:val="Normal"/>
    <w:uiPriority w:val="99"/>
    <w:semiHidden/>
    <w:unhideWhenUsed/>
    <w:rsid w:val="006429ED"/>
    <w:pPr>
      <w:spacing w:before="100" w:beforeAutospacing="1" w:after="100" w:afterAutospacing="1" w:line="240" w:lineRule="auto"/>
    </w:pPr>
    <w:rPr>
      <w:rFonts w:ascii="Times New Roman" w:eastAsia="Times New Roman" w:hAnsi="Times New Roman" w:cs="Times New Roman"/>
      <w:color w:val="auto"/>
      <w:kern w:val="0"/>
      <w:sz w:val="24"/>
      <w:szCs w:val="24"/>
      <w:lang w:bidi="ar-SA"/>
      <w14:ligatures w14:val="none"/>
    </w:rPr>
  </w:style>
  <w:style w:type="character" w:styleId="Emphasis">
    <w:name w:val="Emphasis"/>
    <w:basedOn w:val="DefaultParagraphFont"/>
    <w:uiPriority w:val="20"/>
    <w:qFormat/>
    <w:rsid w:val="006429ED"/>
    <w:rPr>
      <w:i/>
      <w:iCs/>
    </w:rPr>
  </w:style>
  <w:style w:type="character" w:styleId="Strong">
    <w:name w:val="Strong"/>
    <w:basedOn w:val="DefaultParagraphFont"/>
    <w:uiPriority w:val="22"/>
    <w:qFormat/>
    <w:rsid w:val="006429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731162">
      <w:bodyDiv w:val="1"/>
      <w:marLeft w:val="0"/>
      <w:marRight w:val="0"/>
      <w:marTop w:val="0"/>
      <w:marBottom w:val="0"/>
      <w:divBdr>
        <w:top w:val="none" w:sz="0" w:space="0" w:color="auto"/>
        <w:left w:val="none" w:sz="0" w:space="0" w:color="auto"/>
        <w:bottom w:val="none" w:sz="0" w:space="0" w:color="auto"/>
        <w:right w:val="none" w:sz="0" w:space="0" w:color="auto"/>
      </w:divBdr>
      <w:divsChild>
        <w:div w:id="359740725">
          <w:blockQuote w:val="1"/>
          <w:marLeft w:val="720"/>
          <w:marRight w:val="720"/>
          <w:marTop w:val="100"/>
          <w:marBottom w:val="100"/>
          <w:divBdr>
            <w:top w:val="none" w:sz="0" w:space="0" w:color="auto"/>
            <w:left w:val="none" w:sz="0" w:space="0" w:color="auto"/>
            <w:bottom w:val="none" w:sz="0" w:space="0" w:color="auto"/>
            <w:right w:val="none" w:sz="0" w:space="0" w:color="auto"/>
          </w:divBdr>
        </w:div>
        <w:div w:id="951479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764</Words>
  <Characters>4359</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4</cp:revision>
  <dcterms:created xsi:type="dcterms:W3CDTF">2025-05-28T12:09:00Z</dcterms:created>
  <dcterms:modified xsi:type="dcterms:W3CDTF">2025-05-31T01:48:00Z</dcterms:modified>
</cp:coreProperties>
</file>