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0B3B3A"/>
          <w:sz w:val="20"/>
          <w:szCs w:val="20"/>
        </w:rPr>
        <w:t xml:space="preserve">FCT  ·  Finance Control Tower</w:t>
      </w:r>
    </w:p>
    <w:p>
      <w:pPr>
        <w:spacing w:after="80"/>
      </w:pPr>
      <w:r>
        <w:rPr>
          <w:rFonts w:ascii="Calibri" w:cs="Calibri" w:eastAsia="Calibri" w:hAnsi="Calibri"/>
          <w:color w:val="5A6A67"/>
          <w:sz w:val="20"/>
          <w:szCs w:val="20"/>
        </w:rPr>
        <w:t xml:space="preserve">Jubilant (demo) working session</w:t>
      </w:r>
    </w:p>
    <w:p>
      <w:pPr>
        <w:spacing w:after="80" w:before="360"/>
      </w:pPr>
      <w:r>
        <w:rPr>
          <w:rFonts w:ascii="Calibri" w:cs="Calibri" w:eastAsia="Calibri" w:hAnsi="Calibri"/>
          <w:b/>
          <w:bCs/>
          <w:color w:val="0B3B3A"/>
          <w:sz w:val="48"/>
          <w:szCs w:val="48"/>
        </w:rPr>
        <w:t xml:space="preserve">Order to Cash</w:t>
      </w:r>
    </w:p>
    <w:p>
      <w:pPr>
        <w:spacing w:after="240"/>
      </w:pPr>
      <w:r>
        <w:rPr>
          <w:rFonts w:ascii="Calibri" w:cs="Calibri" w:eastAsia="Calibri" w:hAnsi="Calibri"/>
          <w:color w:val="B08A1E"/>
          <w:sz w:val="36"/>
          <w:szCs w:val="36"/>
        </w:rPr>
        <w:t xml:space="preserve">Customer characterisation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C2423"/>
          <w:sz w:val="22"/>
          <w:szCs w:val="22"/>
        </w:rPr>
        <w:t xml:space="preserve">How every customer on the O2C tower is classified. Two independent characterisations: commercial segment and credit risk. They must not be mixed.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7F3E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C2423"/>
                <w:sz w:val="18"/>
                <w:szCs w:val="18"/>
              </w:rPr>
              <w:t xml:space="preserve">Applies to</w:t>
            </w:r>
          </w:p>
        </w:tc>
        <w:tc>
          <w:tcPr>
            <w:tcW w:type="dxa" w:w="656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O2C Health card chips, Customer Profile, Customer Risk Mix, ribbon Risk filter</w:t>
            </w:r>
          </w:p>
        </w:tc>
      </w:tr>
      <w:tr>
        <w:tc>
          <w:tcPr>
            <w:tcW w:type="dxa" w:w="28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4F7F6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C2423"/>
                <w:sz w:val="18"/>
                <w:szCs w:val="18"/>
              </w:rPr>
              <w:t xml:space="preserve">Population</w:t>
            </w:r>
          </w:p>
        </w:tc>
        <w:tc>
          <w:tcPr>
            <w:tcW w:type="dxa" w:w="656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4F7F6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Active customers only. Onboarding (CON-*) is excluded from counts and Health.</w:t>
            </w:r>
          </w:p>
        </w:tc>
      </w:tr>
      <w:tr>
        <w:tc>
          <w:tcPr>
            <w:tcW w:type="dxa" w:w="28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7F3E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C2423"/>
                <w:sz w:val="18"/>
                <w:szCs w:val="18"/>
              </w:rPr>
              <w:t xml:space="preserve">Unfiltered total</w:t>
            </w:r>
          </w:p>
        </w:tc>
        <w:tc>
          <w:tcPr>
            <w:tcW w:type="dxa" w:w="656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56 active customers at snapshot 05-Oct-2026 09:10</w:t>
            </w:r>
          </w:p>
        </w:tc>
      </w:tr>
      <w:tr>
        <w:tc>
          <w:tcPr>
            <w:tcW w:type="dxa" w:w="28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4F7F6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C2423"/>
                <w:sz w:val="18"/>
                <w:szCs w:val="18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4F7F6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Illustrative. Definitions are those coded in the demo master.</w:t>
            </w:r>
          </w:p>
        </w:tc>
      </w:tr>
    </w:tbl>
    <w:p>
      <w:pPr>
        <w:pStyle w:val="Heading1"/>
        <w:pBdr>
          <w:bottom w:val="single" w:color="0B3B3A" w:sz="12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0B3B3A"/>
          <w:sz w:val="32"/>
          <w:szCs w:val="32"/>
        </w:rPr>
        <w:t xml:space="preserve">The rule in one sentence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C2423"/>
          <w:sz w:val="22"/>
          <w:szCs w:val="22"/>
        </w:rPr>
        <w:t xml:space="preserve">Segment answers </w:t>
      </w:r>
      <w:r>
        <w:rPr>
          <w:rFonts w:ascii="Calibri" w:cs="Calibri" w:eastAsia="Calibri" w:hAnsi="Calibri"/>
          <w:i/>
          <w:iCs/>
          <w:color w:val="1C2423"/>
          <w:sz w:val="22"/>
          <w:szCs w:val="22"/>
        </w:rPr>
        <w:t xml:space="preserve">what kind of customer is this commercially?</w:t>
      </w:r>
      <w:r>
        <w:rPr>
          <w:rFonts w:ascii="Calibri" w:cs="Calibri" w:eastAsia="Calibri" w:hAnsi="Calibri"/>
          <w:color w:val="1C2423"/>
          <w:sz w:val="22"/>
          <w:szCs w:val="22"/>
        </w:rPr>
        <w:t xml:space="preserve"> Risk answers </w:t>
      </w:r>
      <w:r>
        <w:rPr>
          <w:rFonts w:ascii="Calibri" w:cs="Calibri" w:eastAsia="Calibri" w:hAnsi="Calibri"/>
          <w:i/>
          <w:iCs/>
          <w:color w:val="1C2423"/>
          <w:sz w:val="22"/>
          <w:szCs w:val="22"/>
        </w:rPr>
        <w:t xml:space="preserve">how worried should credit and collections be?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C2423"/>
          <w:sz w:val="22"/>
          <w:szCs w:val="22"/>
        </w:rPr>
        <w:t xml:space="preserve">A Strategic hospital can be High risk. A Transactional clinic can be Low risk. The Health chips never change the risk tag, and the risk tag never changes the segment.</w:t>
      </w:r>
    </w:p>
    <w:p>
      <w:pPr>
        <w:pStyle w:val="Heading1"/>
        <w:pBdr>
          <w:bottom w:val="single" w:color="0B3B3A" w:sz="12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0B3B3A"/>
          <w:sz w:val="32"/>
          <w:szCs w:val="32"/>
        </w:rPr>
        <w:t xml:space="preserve">1. Commercial segment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C2423"/>
          <w:sz w:val="22"/>
          <w:szCs w:val="22"/>
        </w:rPr>
        <w:t xml:space="preserve">Assigned on the customer master. It is how we sell to and collect from the account. It is not a credit grade and it is not the P2P Kraljic matrix (Strategic / Leverage / Bottleneck / Transactional).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C2423"/>
          <w:sz w:val="22"/>
          <w:szCs w:val="22"/>
        </w:rPr>
        <w:t xml:space="preserve">On the O2C Health card the chips are All, Strategic, Distributor, Export, Transactional. Picking a chip rescopes only the six Health component tiles (rate, floor-to-target bar, percent of customers affected, and the comparison note). The rest of the KPI sheet is unchanged.</w:t>
      </w:r>
    </w:p>
    <w:p>
      <w:pPr>
        <w:spacing w:after="160" w:before="0" w:line="276"/>
      </w:pPr>
      <w:r>
        <w:rPr>
          <w:rFonts w:ascii="Calibri" w:cs="Calibri" w:eastAsia="Calibri" w:hAnsi="Calibri"/>
          <w:i/>
          <w:iCs/>
          <w:color w:val="5A6A67"/>
          <w:sz w:val="20"/>
          <w:szCs w:val="20"/>
        </w:rPr>
        <w:t xml:space="preserve">All = the sum of the four segments under the current filters. Unfiltered: 56.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60"/>
        <w:gridCol w:w="3000"/>
        <w:gridCol w:w="1400"/>
      </w:tblGrid>
      <w:tr>
        <w:tc>
          <w:tcPr>
            <w:tcW w:type="dxa" w:w="16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0B3B3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336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0B3B3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30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0B3B3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 sits here</w:t>
            </w:r>
          </w:p>
        </w:tc>
        <w:tc>
          <w:tcPr>
            <w:tcW w:type="dxa" w:w="14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0B3B3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16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Strategic</w:t>
            </w:r>
          </w:p>
        </w:tc>
        <w:tc>
          <w:tcPr>
            <w:tcW w:type="dxa" w:w="336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A named hospital or key care network whose volume and relationship justify account-managed credit, collections and commercial terms.</w:t>
            </w:r>
          </w:p>
        </w:tc>
        <w:tc>
          <w:tcPr>
            <w:tcW w:type="dxa" w:w="30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Meridian Health Systems, Lakeshore Clinics, Coastline Hospitals. Key account (NutriBlend Foods, AgriNova) is stored on the profile but counted as Strategic on the chips.</w:t>
            </w:r>
          </w:p>
        </w:tc>
        <w:tc>
          <w:tcPr>
            <w:tcW w:type="dxa" w:w="14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16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4F7F6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Distributor</w:t>
            </w:r>
          </w:p>
        </w:tc>
        <w:tc>
          <w:tcPr>
            <w:tcW w:type="dxa" w:w="336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4F7F6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A domestic wholesaler or stockist that buys to resell. Longer terms (typically 45-60 days), higher credit limits, more orders held for credit review.</w:t>
            </w:r>
          </w:p>
        </w:tc>
        <w:tc>
          <w:tcPr>
            <w:tcW w:type="dxa" w:w="30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4F7F6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Medilink Distributors, Corvia Healthcare</w:t>
            </w:r>
          </w:p>
        </w:tc>
        <w:tc>
          <w:tcPr>
            <w:tcW w:type="dxa" w:w="14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4F7F6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16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Export</w:t>
            </w:r>
          </w:p>
        </w:tc>
        <w:tc>
          <w:tcPr>
            <w:tcW w:type="dxa" w:w="336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A foreign buyer or overseas wholesaler on the EU or US books. Incoterms, FX and export credit apply.</w:t>
            </w:r>
          </w:p>
        </w:tc>
        <w:tc>
          <w:tcPr>
            <w:tcW w:type="dxa" w:w="30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Helvetia Pharma Distribution AG (Switzerland), Pacific Generics Inc (USA)</w:t>
            </w:r>
          </w:p>
        </w:tc>
        <w:tc>
          <w:tcPr>
            <w:tcW w:type="dxa" w:w="14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6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4F7F6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336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4F7F6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A smaller or occasional buyer with standard terms and a low limit. Not account-managed as Strategic or Distributor.</w:t>
            </w:r>
          </w:p>
        </w:tc>
        <w:tc>
          <w:tcPr>
            <w:tcW w:type="dxa" w:w="30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4F7F6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Orbit Pharmacy Chain, Zenith Life Care, Helix Diagnostics</w:t>
            </w:r>
          </w:p>
        </w:tc>
        <w:tc>
          <w:tcPr>
            <w:tcW w:type="dxa" w:w="14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4F7F6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16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All</w:t>
            </w:r>
          </w:p>
        </w:tc>
        <w:tc>
          <w:tcPr>
            <w:tcW w:type="dxa" w:w="336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Every active customer in the current filters. Onboarding excluded.</w:t>
            </w:r>
          </w:p>
        </w:tc>
        <w:tc>
          <w:tcPr>
            <w:tcW w:type="dxa" w:w="30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18 + 12 + 8 + 18</w:t>
            </w:r>
          </w:p>
        </w:tc>
        <w:tc>
          <w:tcPr>
            <w:tcW w:type="dxa" w:w="14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56</w:t>
            </w:r>
          </w:p>
        </w:tc>
      </w:tr>
    </w:tbl>
    <w:p>
      <w:pPr>
        <w:spacing w:after="160" w:before="0" w:line="276"/>
      </w:pPr>
      <w:r>
        <w:rPr>
          <w:rFonts w:ascii="Calibri" w:cs="Calibri" w:eastAsia="Calibri" w:hAnsi="Calibri"/>
          <w:color w:val="1C2423"/>
          <w:sz w:val="22"/>
          <w:szCs w:val="22"/>
        </w:rPr>
        <w:t xml:space="preserve">Key account is an internal master label, not a fifth chip. The Customer Profile identity line can still show Key account; Health always folds it into Strategic. That is why Strategic is 18 rather than the eight records labelled Strategic on the master.</w:t>
      </w:r>
    </w:p>
    <w:p>
      <w:pPr>
        <w:pStyle w:val="Heading1"/>
        <w:pBdr>
          <w:bottom w:val="single" w:color="0B3B3A" w:sz="12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0B3B3A"/>
          <w:sz w:val="32"/>
          <w:szCs w:val="32"/>
        </w:rPr>
        <w:t xml:space="preserve">2. Credit and collections risk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C2423"/>
          <w:sz w:val="22"/>
          <w:szCs w:val="22"/>
        </w:rPr>
        <w:t xml:space="preserve">This is how likely the account is to pay late, dispute, or breach limit. Score 0-100: 60 percent of the worst assessed factor plus 40 percent of the weighted average of factors that have data. Missing factors reduce coverage; they are never scored as perfect.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0B3B3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12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0B3B3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36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0B3B3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Payment behaviour</w:t>
            </w:r>
          </w:p>
        </w:tc>
        <w:tc>
          <w:tcPr>
            <w:tcW w:type="dxa" w:w="12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25</w:t>
            </w:r>
          </w:p>
        </w:tc>
        <w:tc>
          <w:tcPr>
            <w:tcW w:type="dxa" w:w="536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Days to pay and DSO versus terms (six months)</w:t>
            </w:r>
          </w:p>
        </w:tc>
      </w:tr>
      <w:tr>
        <w:tc>
          <w:tcPr>
            <w:tcW w:type="dxa" w:w="28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4F7F6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Overdue concentration</w:t>
            </w:r>
          </w:p>
        </w:tc>
        <w:tc>
          <w:tcPr>
            <w:tcW w:type="dxa" w:w="12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4F7F6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20</w:t>
            </w:r>
          </w:p>
        </w:tc>
        <w:tc>
          <w:tcPr>
            <w:tcW w:type="dxa" w:w="536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4F7F6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Open overdue as a share of open AR</w:t>
            </w:r>
          </w:p>
        </w:tc>
      </w:tr>
      <w:tr>
        <w:tc>
          <w:tcPr>
            <w:tcW w:type="dxa" w:w="28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Credit utilisation</w:t>
            </w:r>
          </w:p>
        </w:tc>
        <w:tc>
          <w:tcPr>
            <w:tcW w:type="dxa" w:w="12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15</w:t>
            </w:r>
          </w:p>
        </w:tc>
        <w:tc>
          <w:tcPr>
            <w:tcW w:type="dxa" w:w="536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AR plus open orders versus approved limit</w:t>
            </w:r>
          </w:p>
        </w:tc>
      </w:tr>
      <w:tr>
        <w:tc>
          <w:tcPr>
            <w:tcW w:type="dxa" w:w="28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4F7F6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Disputes and deductions</w:t>
            </w:r>
          </w:p>
        </w:tc>
        <w:tc>
          <w:tcPr>
            <w:tcW w:type="dxa" w:w="12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4F7F6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15</w:t>
            </w:r>
          </w:p>
        </w:tc>
        <w:tc>
          <w:tcPr>
            <w:tcW w:type="dxa" w:w="536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4F7F6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Open dispute value and recurrence</w:t>
            </w:r>
          </w:p>
        </w:tc>
      </w:tr>
      <w:tr>
        <w:tc>
          <w:tcPr>
            <w:tcW w:type="dxa" w:w="28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Bureau and financials</w:t>
            </w:r>
          </w:p>
        </w:tc>
        <w:tc>
          <w:tcPr>
            <w:tcW w:type="dxa" w:w="12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15</w:t>
            </w:r>
          </w:p>
        </w:tc>
        <w:tc>
          <w:tcPr>
            <w:tcW w:type="dxa" w:w="536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Credit bureau score and filings</w:t>
            </w:r>
          </w:p>
        </w:tc>
      </w:tr>
      <w:tr>
        <w:tc>
          <w:tcPr>
            <w:tcW w:type="dxa" w:w="28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4F7F6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Promise-to-pay reliability</w:t>
            </w:r>
          </w:p>
        </w:tc>
        <w:tc>
          <w:tcPr>
            <w:tcW w:type="dxa" w:w="12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4F7F6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10</w:t>
            </w:r>
          </w:p>
        </w:tc>
        <w:tc>
          <w:tcPr>
            <w:tcW w:type="dxa" w:w="536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4F7F6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Promises kept in six months</w:t>
            </w:r>
          </w:p>
        </w:tc>
      </w:tr>
    </w:tbl>
    <w:p>
      <w:pPr>
        <w:spacing w:after="160" w:before="0" w:line="276"/>
      </w:pPr>
      <w:r>
        <w:rPr>
          <w:rFonts w:ascii="Calibri" w:cs="Calibri" w:eastAsia="Calibri" w:hAnsi="Calibri"/>
          <w:color w:val="1C2423"/>
          <w:sz w:val="22"/>
          <w:szCs w:val="22"/>
        </w:rPr>
        <w:t xml:space="preserve">The model category is read from the score. The approved category is the tag on the customer master. If they differ, the profile shows re-review: a person must confirm. The model does not auto-downgrade.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960"/>
        <w:gridCol w:w="2000"/>
      </w:tblGrid>
      <w:tr>
        <w:tc>
          <w:tcPr>
            <w:tcW w:type="dxa" w:w="20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0B3B3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category</w:t>
            </w:r>
          </w:p>
        </w:tc>
        <w:tc>
          <w:tcPr>
            <w:tcW w:type="dxa" w:w="14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0B3B3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96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0B3B3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20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0B3B3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Review</w:t>
            </w:r>
          </w:p>
        </w:tc>
      </w:tr>
      <w:tr>
        <w:tc>
          <w:tcPr>
            <w:tcW w:type="dxa" w:w="20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80+</w:t>
            </w:r>
          </w:p>
        </w:tc>
        <w:tc>
          <w:tcPr>
            <w:tcW w:type="dxa" w:w="396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Default, dispute hold, or credit-limit breach.</w:t>
            </w:r>
          </w:p>
        </w:tc>
        <w:tc>
          <w:tcPr>
            <w:tcW w:type="dxa" w:w="20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Weekly, AR and Credit</w:t>
            </w:r>
          </w:p>
        </w:tc>
      </w:tr>
      <w:tr>
        <w:tc>
          <w:tcPr>
            <w:tcW w:type="dxa" w:w="20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4F7F6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4F7F6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60-79</w:t>
            </w:r>
          </w:p>
        </w:tc>
        <w:tc>
          <w:tcPr>
            <w:tcW w:type="dxa" w:w="396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4F7F6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Overdue, broken promises, or bureau deterioration.</w:t>
            </w:r>
          </w:p>
        </w:tc>
        <w:tc>
          <w:tcPr>
            <w:tcW w:type="dxa" w:w="20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4F7F6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Fortnightly</w:t>
            </w:r>
          </w:p>
        </w:tc>
      </w:tr>
      <w:tr>
        <w:tc>
          <w:tcPr>
            <w:tcW w:type="dxa" w:w="20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40-59</w:t>
            </w:r>
          </w:p>
        </w:tc>
        <w:tc>
          <w:tcPr>
            <w:tcW w:type="dxa" w:w="396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Isolated delays.</w:t>
            </w:r>
          </w:p>
        </w:tc>
        <w:tc>
          <w:tcPr>
            <w:tcW w:type="dxa" w:w="20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20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4F7F6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4F7F6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Below 40</w:t>
            </w:r>
          </w:p>
        </w:tc>
        <w:tc>
          <w:tcPr>
            <w:tcW w:type="dxa" w:w="396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4F7F6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Pays in cycle.</w:t>
            </w:r>
          </w:p>
        </w:tc>
        <w:tc>
          <w:tcPr>
            <w:tcW w:type="dxa" w:w="20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4F7F6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Quarterly</w:t>
            </w:r>
          </w:p>
        </w:tc>
      </w:tr>
    </w:tbl>
    <w:p>
      <w:pPr>
        <w:spacing w:after="160" w:before="0" w:line="276"/>
      </w:pPr>
      <w:r>
        <w:rPr>
          <w:rFonts w:ascii="Calibri" w:cs="Calibri" w:eastAsia="Calibri" w:hAnsi="Calibri"/>
          <w:color w:val="1C2423"/>
          <w:sz w:val="22"/>
          <w:szCs w:val="22"/>
        </w:rPr>
        <w:t xml:space="preserve">Worked contrast: Meridian Health Systems is Strategic and High risk (pricing dispute, dunning paused). Helix Diagnostics is Transactional and Low risk. Medilink Distributors is Distributor and High risk (near limit; increase requested).</w:t>
      </w:r>
    </w:p>
    <w:p>
      <w:pPr>
        <w:pStyle w:val="Heading1"/>
        <w:pBdr>
          <w:bottom w:val="single" w:color="0B3B3A" w:sz="12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0B3B3A"/>
          <w:sz w:val="32"/>
          <w:szCs w:val="32"/>
        </w:rPr>
        <w:t xml:space="preserve">3. Other labels on the same record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C2423"/>
          <w:sz w:val="22"/>
          <w:szCs w:val="22"/>
        </w:rPr>
        <w:t xml:space="preserve">These are not segments and not risk. They appear on the identity line, filters and breakdowns.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0B3B3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716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0B3B3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Active versus Onboarding. Only Active enters the 56 and is used in Health, risk mix and master-data quality. Onboarding (CON-1182, CON-1179, CON-1176) is for duplicate and credit-assessment checks.</w:t>
            </w:r>
          </w:p>
        </w:tc>
      </w:tr>
      <w:tr>
        <w:tc>
          <w:tcPr>
            <w:tcW w:type="dxa" w:w="22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4F7F6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Product line</w:t>
            </w:r>
          </w:p>
        </w:tc>
        <w:tc>
          <w:tcPr>
            <w:tcW w:type="dxa" w:w="716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4F7F6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What they buy: Formulations, API, Life science ingredients, Nutrition, Specialty chemicals, Distribution. Commercial segment is who they are in the channel, not the SKU mix.</w:t>
            </w:r>
          </w:p>
        </w:tc>
      </w:tr>
      <w:tr>
        <w:tc>
          <w:tcPr>
            <w:tcW w:type="dxa" w:w="22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Business unit</w:t>
            </w:r>
          </w:p>
        </w:tc>
        <w:tc>
          <w:tcPr>
            <w:tcW w:type="dxa" w:w="716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Which book they sit on (IN-02 API Manufacturing through IN-08 Distribution and Trading, US-01, EU-01).</w:t>
            </w:r>
          </w:p>
        </w:tc>
      </w:tr>
      <w:tr>
        <w:tc>
          <w:tcPr>
            <w:tcW w:type="dxa" w:w="22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4F7F6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Region</w:t>
            </w:r>
          </w:p>
        </w:tc>
        <w:tc>
          <w:tcPr>
            <w:tcW w:type="dxa" w:w="716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4F7F6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North India, West India, South India, North America, Europe — derived from the business unit.</w:t>
            </w:r>
          </w:p>
        </w:tc>
      </w:tr>
      <w:tr>
        <w:tc>
          <w:tcPr>
            <w:tcW w:type="dxa" w:w="220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Collector</w:t>
            </w:r>
          </w:p>
        </w:tc>
        <w:tc>
          <w:tcPr>
            <w:tcW w:type="dxa" w:w="7160"/>
            <w:tcBorders>
              <w:top w:val="single" w:color="D5DDDB" w:sz="4"/>
              <w:left w:val="single" w:color="D5DDDB" w:sz="4"/>
              <w:bottom w:val="single" w:color="D5DDDB" w:sz="4"/>
              <w:right w:val="single" w:color="D5DDDB" w:sz="4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423"/>
                <w:sz w:val="18"/>
                <w:szCs w:val="18"/>
              </w:rPr>
              <w:t xml:space="preserve">Named collector code on the account (for example NI). Used when Collection Success is broken down, not as a characterisation of the customer.</w:t>
            </w:r>
          </w:p>
        </w:tc>
      </w:tr>
    </w:tbl>
    <w:p>
      <w:pPr>
        <w:pStyle w:val="Heading1"/>
        <w:pBdr>
          <w:bottom w:val="single" w:color="0B3B3A" w:sz="12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0B3B3A"/>
          <w:sz w:val="32"/>
          <w:szCs w:val="32"/>
        </w:rPr>
        <w:t xml:space="preserve">How to use this on the screens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2423"/>
          <w:sz w:val="22"/>
          <w:szCs w:val="22"/>
        </w:rPr>
        <w:t xml:space="preserve">Health card chips: commercial segment. Use when the question is whether Strategic hospitals, distributors, export or transactional accounts are dragging a control rate.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2423"/>
          <w:sz w:val="22"/>
          <w:szCs w:val="22"/>
        </w:rPr>
        <w:t xml:space="preserve">Ribbon Risk filter and Customer Risk Mix: approved risk category. Use when the question is concentration of High and Critical, or re-reviews.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2423"/>
          <w:sz w:val="22"/>
          <w:szCs w:val="22"/>
        </w:rPr>
        <w:t xml:space="preserve">Customer Profile: both. Identity line shows stored segment (including Key account). Tags show approved risk, model suggestion, terms and limit.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2423"/>
          <w:sz w:val="22"/>
          <w:szCs w:val="22"/>
        </w:rPr>
        <w:t xml:space="preserve">Do not add segment counts to risk counts. They are different denominators answering different questions.</w:t>
      </w:r>
    </w:p>
    <w:p>
      <w:pPr>
        <w:pBdr>
          <w:top w:val="single" w:color="0B3B3A" w:sz="8" w:space="10"/>
        </w:pBdr>
        <w:spacing w:after="80" w:before="360"/>
      </w:pPr>
      <w:r>
        <w:rPr>
          <w:rFonts w:ascii="Calibri" w:cs="Calibri" w:eastAsia="Calibri" w:hAnsi="Calibri"/>
          <w:color w:val="5A6A67"/>
          <w:sz w:val="18"/>
          <w:szCs w:val="18"/>
        </w:rPr>
        <w:t xml:space="preserve">FCT Finance Control Tower  ·  O2C customer characterisation  ·  21 October 2026</w:t>
      </w:r>
    </w:p>
    <w:p>
      <w:pPr>
        <w:spacing w:after="160" w:before="0" w:line="276"/>
      </w:pPr>
      <w:r>
        <w:rPr>
          <w:rFonts w:ascii="Calibri" w:cs="Calibri" w:eastAsia="Calibri" w:hAnsi="Calibri"/>
          <w:i/>
          <w:iCs/>
          <w:color w:val="5A6A67"/>
          <w:sz w:val="20"/>
          <w:szCs w:val="20"/>
        </w:rPr>
        <w:t xml:space="preserve">Demonstration prototype. All data, entities, people and system connections are simulated for the Jubilant (demo) working session.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DDB" w:sz="6" w:space="6"/>
      </w:pBdr>
      <w:spacing w:before="80"/>
    </w:pPr>
    <w:r>
      <w:rPr>
        <w:rFonts w:ascii="Calibri" w:cs="Calibri" w:eastAsia="Calibri" w:hAnsi="Calibri"/>
        <w:color w:val="5A6A67"/>
        <w:sz w:val="16"/>
        <w:szCs w:val="16"/>
      </w:rPr>
      <w:t xml:space="preserve">Jubilant (demo)  ·  56 active customers  ·  </w:t>
    </w:r>
    <w:r>
      <w:rPr>
        <w:rFonts w:ascii="Calibri" w:cs="Calibri" w:eastAsia="Calibri" w:hAnsi="Calibri"/>
        <w:color w:val="5A6A67"/>
        <w:sz w:val="16"/>
        <w:szCs w:val="16"/>
      </w:rPr>
      <w:fldChar w:fldCharType="begin"/>
    </w:r>
    <w:r>
      <w:rPr>
        <w:rFonts w:ascii="Calibri" w:cs="Calibri" w:eastAsia="Calibri" w:hAnsi="Calibri"/>
        <w:color w:val="5A6A67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A6A67"/>
        <w:sz w:val="16"/>
        <w:szCs w:val="16"/>
      </w:rPr>
      <w:fldChar w:fldCharType="separate"/>
    </w:r>
    <w:r>
      <w:rPr>
        <w:rFonts w:ascii="Calibri" w:cs="Calibri" w:eastAsia="Calibri" w:hAnsi="Calibri"/>
        <w:color w:val="5A6A6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3B3A" w:sz="8" w:space="6"/>
      </w:pBdr>
      <w:spacing w:after="80"/>
    </w:pPr>
    <w:r>
      <w:rPr>
        <w:rFonts w:ascii="Calibri" w:cs="Calibri" w:eastAsia="Calibri" w:hAnsi="Calibri"/>
        <w:b/>
        <w:bCs/>
        <w:color w:val="0B3B3A"/>
        <w:sz w:val="16"/>
        <w:szCs w:val="16"/>
      </w:rPr>
      <w:t xml:space="preserve">FCT  ·  Order to Cash</w:t>
    </w:r>
    <w:r>
      <w:rPr>
        <w:rFonts w:ascii="Calibri" w:cs="Calibri" w:eastAsia="Calibri" w:hAnsi="Calibri"/>
        <w:color w:val="5A6A67"/>
        <w:sz w:val="16"/>
        <w:szCs w:val="16"/>
      </w:rPr>
      <w:t xml:space="preserve">     Customer characterisation     </w:t>
    </w:r>
    <w:r>
      <w:rPr>
        <w:rFonts w:ascii="Calibri" w:cs="Calibri" w:eastAsia="Calibri" w:hAnsi="Calibri"/>
        <w:i/>
        <w:iCs/>
        <w:color w:val="5A6A67"/>
        <w:sz w:val="16"/>
        <w:szCs w:val="16"/>
      </w:rPr>
      <w:t xml:space="preserve">Illustrative demo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2026-10-21T10:53:24.931Z</dcterms:created>
  <dcterms:modified xsi:type="dcterms:W3CDTF">2026-10-21T10:53:24.934Z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