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5395"/>
          <w:sz w:val="36"/>
          <w:szCs w:val="36"/>
        </w:rPr>
        <w:t xml:space="preserve">NDIS PARTICIPANT PROGRESS REPORT</w:t>
      </w:r>
    </w:p>
    <w:p>
      <w:pPr>
        <w:spacing w:after="300"/>
      </w:pPr>
      <w:r>
        <w:rPr>
          <w:i/>
          <w:iCs/>
          <w:color w:val="555555"/>
          <w:sz w:val="24"/>
          <w:szCs w:val="24"/>
        </w:rPr>
        <w:t xml:space="preserve">Progression Plan — 6-Month Review</w:t>
      </w:r>
    </w:p>
    <w:p>
      <w:pPr>
        <w:pBdr>
          <w:bottom w:val="single" w:color="999999" w:sz="6" w:space="1"/>
        </w:pBdr>
        <w:spacing w:after="200"/>
      </w:pPr>
    </w:p>
    <w:p>
      <w:pPr>
        <w:pStyle w:val="Heading1"/>
        <w:spacing w:after="150" w:before="300"/>
      </w:pPr>
      <w:r>
        <w:t xml:space="preserve">1. Participant Details</w:t>
      </w:r>
    </w:p>
    <w:p>
      <w:pPr>
        <w:spacing w:after="80"/>
      </w:pPr>
      <w:r>
        <w:rPr>
          <w:b/>
          <w:bCs/>
        </w:rPr>
        <w:t xml:space="preserve">Participant name: </w:t>
      </w:r>
      <w:r>
        <w:t xml:space="preserve">Jordan Michael Reyes</w:t>
      </w:r>
    </w:p>
    <w:p>
      <w:pPr>
        <w:spacing w:after="80"/>
      </w:pPr>
      <w:r>
        <w:rPr>
          <w:b/>
          <w:bCs/>
        </w:rPr>
        <w:t xml:space="preserve">Date of birth: </w:t>
      </w:r>
      <w:r>
        <w:t xml:space="preserve">14 March 1994</w:t>
      </w:r>
    </w:p>
    <w:p>
      <w:pPr>
        <w:spacing w:after="80"/>
      </w:pPr>
      <w:r>
        <w:rPr>
          <w:b/>
          <w:bCs/>
        </w:rPr>
        <w:t xml:space="preserve">NDIS number: </w:t>
      </w:r>
      <w:r>
        <w:t xml:space="preserve">430 559 812</w:t>
      </w:r>
    </w:p>
    <w:p>
      <w:pPr>
        <w:spacing w:after="80"/>
      </w:pPr>
      <w:r>
        <w:rPr>
          <w:b/>
          <w:bCs/>
        </w:rPr>
        <w:t xml:space="preserve">Plan management type: </w:t>
      </w:r>
      <w:r>
        <w:t xml:space="preserve">Plan-managed</w:t>
      </w:r>
    </w:p>
    <w:p>
      <w:pPr>
        <w:spacing w:after="80"/>
      </w:pPr>
      <w:r>
        <w:rPr>
          <w:b/>
          <w:bCs/>
        </w:rPr>
        <w:t xml:space="preserve">Current plan period: </w:t>
      </w:r>
      <w:r>
        <w:t xml:space="preserve">12 January 2026 – 11 January 2027</w:t>
      </w:r>
    </w:p>
    <w:p>
      <w:pPr>
        <w:spacing w:after="80"/>
      </w:pPr>
      <w:r>
        <w:rPr>
          <w:b/>
          <w:bCs/>
        </w:rPr>
        <w:t xml:space="preserve">Support Coordinator: </w:t>
      </w:r>
      <w:r>
        <w:t xml:space="preserve">Priya Nathan, Coastline Support Coordination</w:t>
      </w:r>
    </w:p>
    <w:p>
      <w:pPr>
        <w:spacing w:after="80"/>
      </w:pPr>
      <w:r>
        <w:rPr>
          <w:b/>
          <w:bCs/>
        </w:rPr>
        <w:t xml:space="preserve">Report prepared by: </w:t>
      </w:r>
      <w:r>
        <w:t xml:space="preserve">Amanda Cole, Registered OT (AHPRA reg. OCC0034812)</w:t>
      </w:r>
    </w:p>
    <w:p>
      <w:pPr>
        <w:spacing w:after="80"/>
      </w:pPr>
      <w:r>
        <w:rPr>
          <w:b/>
          <w:bCs/>
        </w:rPr>
        <w:t xml:space="preserve">Report date: </w:t>
      </w:r>
      <w:r>
        <w:t xml:space="preserve">17 July 2026</w:t>
      </w:r>
    </w:p>
    <w:p>
      <w:pPr>
        <w:spacing w:after="80"/>
      </w:pPr>
      <w:r>
        <w:rPr>
          <w:b/>
          <w:bCs/>
        </w:rPr>
        <w:t xml:space="preserve">Review period covered: </w:t>
      </w:r>
      <w:r>
        <w:t xml:space="preserve">12 January 2026 – 30 June 2026</w:t>
      </w:r>
    </w:p>
    <w:p>
      <w:pPr>
        <w:pStyle w:val="Heading1"/>
        <w:spacing w:after="150" w:before="300"/>
      </w:pPr>
      <w:r>
        <w:t xml:space="preserve">2. Purpose of This Report</w:t>
      </w:r>
    </w:p>
    <w:p>
      <w:pPr>
        <w:spacing w:after="120"/>
      </w:pPr>
      <w:r>
        <w:t xml:space="preserve">This progress report documents Jordan's progress against the goals identified in his current NDIS plan, summarises support utilisation for the review period, and provides recommendations for the upcoming plan reassessment meeting scheduled for 5 September 2026.</w:t>
      </w:r>
    </w:p>
    <w:p>
      <w:pPr>
        <w:pStyle w:val="Heading1"/>
        <w:spacing w:after="150" w:before="300"/>
      </w:pPr>
      <w:r>
        <w:t xml:space="preserve">3. Progress Against Plan Goals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600"/>
      </w:tblGrid>
      <w:tr>
        <w:tc>
          <w:tcPr>
            <w:tcW w:type="dxa" w:w="1600"/>
            <w:shd w:fill="2E5395" w:val="clear"/>
            <w:tcMar>
              <w:top w:type="dxa" w:w="80"/>
              <w:left w:type="dxa" w:w="100"/>
              <w:bottom w:type="dxa" w:w="80"/>
              <w:right w:type="dxa" w:w="100"/>
            </w:tcMar>
            <w:vAlign w:val="center"/>
          </w:tcPr>
          <w:p>
            <w:r>
              <w:rPr>
                <w:b/>
                <w:bCs/>
                <w:color w:val="FFFFFF"/>
              </w:rPr>
              <w:t xml:space="preserve">Goal</w:t>
            </w:r>
          </w:p>
        </w:tc>
        <w:tc>
          <w:tcPr>
            <w:tcW w:type="dxa" w:w="2600"/>
            <w:shd w:fill="2E5395" w:val="clear"/>
            <w:tcMar>
              <w:top w:type="dxa" w:w="80"/>
              <w:left w:type="dxa" w:w="100"/>
              <w:bottom w:type="dxa" w:w="80"/>
              <w:right w:type="dxa" w:w="100"/>
            </w:tcMar>
            <w:vAlign w:val="center"/>
          </w:tcPr>
          <w:p>
            <w:r>
              <w:rPr>
                <w:b/>
                <w:bCs/>
                <w:color w:val="FFFFFF"/>
              </w:rPr>
              <w:t xml:space="preserve">Baseline (Jan 2026)</w:t>
            </w:r>
          </w:p>
        </w:tc>
        <w:tc>
          <w:tcPr>
            <w:tcW w:type="dxa" w:w="2600"/>
            <w:shd w:fill="2E5395" w:val="clear"/>
            <w:tcMar>
              <w:top w:type="dxa" w:w="80"/>
              <w:left w:type="dxa" w:w="100"/>
              <w:bottom w:type="dxa" w:w="80"/>
              <w:right w:type="dxa" w:w="100"/>
            </w:tcMar>
            <w:vAlign w:val="center"/>
          </w:tcPr>
          <w:p>
            <w:r>
              <w:rPr>
                <w:b/>
                <w:bCs/>
                <w:color w:val="FFFFFF"/>
              </w:rPr>
              <w:t xml:space="preserve">Current Status (Jul 2026)</w:t>
            </w:r>
          </w:p>
        </w:tc>
        <w:tc>
          <w:tcPr>
            <w:tcW w:type="dxa" w:w="2600"/>
            <w:shd w:fill="2E5395" w:val="clear"/>
            <w:tcMar>
              <w:top w:type="dxa" w:w="80"/>
              <w:left w:type="dxa" w:w="100"/>
              <w:bottom w:type="dxa" w:w="80"/>
              <w:right w:type="dxa" w:w="100"/>
            </w:tcMar>
            <w:vAlign w:val="center"/>
          </w:tcPr>
          <w:p>
            <w:r>
              <w:rPr>
                <w:b/>
                <w:bCs/>
                <w:color w:val="FFFFFF"/>
              </w:rPr>
              <w:t xml:space="preserve">Funding Utilised</w:t>
            </w:r>
          </w:p>
        </w:tc>
      </w:tr>
      <w:tr>
        <w:tc>
          <w:tcPr>
            <w:tcW w:type="dxa" w:w="1600"/>
            <w:tcMar>
              <w:top w:type="dxa" w:w="80"/>
              <w:left w:type="dxa" w:w="100"/>
              <w:bottom w:type="dxa" w:w="80"/>
              <w:right w:type="dxa" w:w="100"/>
            </w:tcMar>
            <w:vAlign w:val="center"/>
          </w:tcPr>
          <w:p>
            <w:r>
              <w:rPr>
                <w:b w:val="false"/>
                <w:bCs w:val="false"/>
              </w:rPr>
              <w:t xml:space="preserve">1. Increase independent mobility</w:t>
            </w:r>
          </w:p>
        </w:tc>
        <w:tc>
          <w:tcPr>
            <w:tcW w:type="dxa" w:w="2600"/>
            <w:tcMar>
              <w:top w:type="dxa" w:w="80"/>
              <w:left w:type="dxa" w:w="100"/>
              <w:bottom w:type="dxa" w:w="80"/>
              <w:right w:type="dxa" w:w="100"/>
            </w:tcMar>
            <w:vAlign w:val="center"/>
          </w:tcPr>
          <w:p>
            <w:r>
              <w:rPr>
                <w:b w:val="false"/>
                <w:bCs w:val="false"/>
              </w:rPr>
              <w:t xml:space="preserve">Required assistance for all transfers; used manual wheelchair only indoors</w:t>
            </w:r>
          </w:p>
        </w:tc>
        <w:tc>
          <w:tcPr>
            <w:tcW w:type="dxa" w:w="2600"/>
            <w:tcMar>
              <w:top w:type="dxa" w:w="80"/>
              <w:left w:type="dxa" w:w="100"/>
              <w:bottom w:type="dxa" w:w="80"/>
              <w:right w:type="dxa" w:w="100"/>
            </w:tcMar>
            <w:vAlign w:val="center"/>
          </w:tcPr>
          <w:p>
            <w:r>
              <w:rPr>
                <w:b w:val="false"/>
                <w:bCs w:val="false"/>
              </w:rPr>
              <w:t xml:space="preserve">Independently transfers bed-to-chair; uses power wheelchair outdoors for 3+ suburbs</w:t>
            </w:r>
          </w:p>
        </w:tc>
        <w:tc>
          <w:tcPr>
            <w:tcW w:type="dxa" w:w="2600"/>
            <w:tcMar>
              <w:top w:type="dxa" w:w="80"/>
              <w:left w:type="dxa" w:w="100"/>
              <w:bottom w:type="dxa" w:w="80"/>
              <w:right w:type="dxa" w:w="100"/>
            </w:tcMar>
            <w:vAlign w:val="center"/>
          </w:tcPr>
          <w:p>
            <w:r>
              <w:rPr>
                <w:b w:val="false"/>
                <w:bCs w:val="false"/>
              </w:rPr>
              <w:t xml:space="preserve">$4,220 of $6,500 (Core - Assistive Technology)</w:t>
            </w:r>
          </w:p>
        </w:tc>
      </w:tr>
      <w:tr>
        <w:tc>
          <w:tcPr>
            <w:tcW w:type="dxa" w:w="1600"/>
            <w:tcMar>
              <w:top w:type="dxa" w:w="80"/>
              <w:left w:type="dxa" w:w="100"/>
              <w:bottom w:type="dxa" w:w="80"/>
              <w:right w:type="dxa" w:w="100"/>
            </w:tcMar>
            <w:vAlign w:val="center"/>
          </w:tcPr>
          <w:p>
            <w:r>
              <w:rPr>
                <w:b w:val="false"/>
                <w:bCs w:val="false"/>
              </w:rPr>
              <w:t xml:space="preserve">2. Build community participation</w:t>
            </w:r>
          </w:p>
        </w:tc>
        <w:tc>
          <w:tcPr>
            <w:tcW w:type="dxa" w:w="2600"/>
            <w:tcMar>
              <w:top w:type="dxa" w:w="80"/>
              <w:left w:type="dxa" w:w="100"/>
              <w:bottom w:type="dxa" w:w="80"/>
              <w:right w:type="dxa" w:w="100"/>
            </w:tcMar>
            <w:vAlign w:val="center"/>
          </w:tcPr>
          <w:p>
            <w:r>
              <w:rPr>
                <w:b w:val="false"/>
                <w:bCs w:val="false"/>
              </w:rPr>
              <w:t xml:space="preserve">Attended 0 community groups; high social anxiety in unfamiliar settings</w:t>
            </w:r>
          </w:p>
        </w:tc>
        <w:tc>
          <w:tcPr>
            <w:tcW w:type="dxa" w:w="2600"/>
            <w:tcMar>
              <w:top w:type="dxa" w:w="80"/>
              <w:left w:type="dxa" w:w="100"/>
              <w:bottom w:type="dxa" w:w="80"/>
              <w:right w:type="dxa" w:w="100"/>
            </w:tcMar>
            <w:vAlign w:val="center"/>
          </w:tcPr>
          <w:p>
            <w:r>
              <w:rPr>
                <w:b w:val="false"/>
                <w:bCs w:val="false"/>
              </w:rPr>
              <w:t xml:space="preserve">Attending Fortitude Valley Men's Shed weekly; missed 2 of last 12 sessions</w:t>
            </w:r>
          </w:p>
        </w:tc>
        <w:tc>
          <w:tcPr>
            <w:tcW w:type="dxa" w:w="2600"/>
            <w:tcMar>
              <w:top w:type="dxa" w:w="80"/>
              <w:left w:type="dxa" w:w="100"/>
              <w:bottom w:type="dxa" w:w="80"/>
              <w:right w:type="dxa" w:w="100"/>
            </w:tcMar>
            <w:vAlign w:val="center"/>
          </w:tcPr>
          <w:p>
            <w:r>
              <w:rPr>
                <w:b w:val="false"/>
                <w:bCs w:val="false"/>
              </w:rPr>
              <w:t xml:space="preserve">$2,880 of $5,200 (Core - Social &amp; Community)</w:t>
            </w:r>
          </w:p>
        </w:tc>
      </w:tr>
      <w:tr>
        <w:tc>
          <w:tcPr>
            <w:tcW w:type="dxa" w:w="1600"/>
            <w:tcMar>
              <w:top w:type="dxa" w:w="80"/>
              <w:left w:type="dxa" w:w="100"/>
              <w:bottom w:type="dxa" w:w="80"/>
              <w:right w:type="dxa" w:w="100"/>
            </w:tcMar>
            <w:vAlign w:val="center"/>
          </w:tcPr>
          <w:p>
            <w:r>
              <w:rPr>
                <w:b w:val="false"/>
                <w:bCs w:val="false"/>
              </w:rPr>
              <w:t xml:space="preserve">3. Improve communication strategies</w:t>
            </w:r>
          </w:p>
        </w:tc>
        <w:tc>
          <w:tcPr>
            <w:tcW w:type="dxa" w:w="2600"/>
            <w:tcMar>
              <w:top w:type="dxa" w:w="80"/>
              <w:left w:type="dxa" w:w="100"/>
              <w:bottom w:type="dxa" w:w="80"/>
              <w:right w:type="dxa" w:w="100"/>
            </w:tcMar>
            <w:vAlign w:val="center"/>
          </w:tcPr>
          <w:p>
            <w:r>
              <w:rPr>
                <w:b w:val="false"/>
                <w:bCs w:val="false"/>
              </w:rPr>
              <w:t xml:space="preserve">Used single-word AAC board; frustration-related outbursts ~4x/week</w:t>
            </w:r>
          </w:p>
        </w:tc>
        <w:tc>
          <w:tcPr>
            <w:tcW w:type="dxa" w:w="2600"/>
            <w:tcMar>
              <w:top w:type="dxa" w:w="80"/>
              <w:left w:type="dxa" w:w="100"/>
              <w:bottom w:type="dxa" w:w="80"/>
              <w:right w:type="dxa" w:w="100"/>
            </w:tcMar>
            <w:vAlign w:val="center"/>
          </w:tcPr>
          <w:p>
            <w:r>
              <w:rPr>
                <w:b w:val="false"/>
                <w:bCs w:val="false"/>
              </w:rPr>
              <w:t xml:space="preserve">Using 40-symbol AAC app independently; outbursts reduced to ~1x/week</w:t>
            </w:r>
          </w:p>
        </w:tc>
        <w:tc>
          <w:tcPr>
            <w:tcW w:type="dxa" w:w="2600"/>
            <w:tcMar>
              <w:top w:type="dxa" w:w="80"/>
              <w:left w:type="dxa" w:w="100"/>
              <w:bottom w:type="dxa" w:w="80"/>
              <w:right w:type="dxa" w:w="100"/>
            </w:tcMar>
            <w:vAlign w:val="center"/>
          </w:tcPr>
          <w:p>
            <w:r>
              <w:rPr>
                <w:b w:val="false"/>
                <w:bCs w:val="false"/>
              </w:rPr>
              <w:t xml:space="preserve">$3,150 of $4,000 (Capacity Building - Improved Daily Living)</w:t>
            </w:r>
          </w:p>
        </w:tc>
      </w:tr>
      <w:tr>
        <w:tc>
          <w:tcPr>
            <w:tcW w:type="dxa" w:w="1600"/>
            <w:tcMar>
              <w:top w:type="dxa" w:w="80"/>
              <w:left w:type="dxa" w:w="100"/>
              <w:bottom w:type="dxa" w:w="80"/>
              <w:right w:type="dxa" w:w="100"/>
            </w:tcMar>
            <w:vAlign w:val="center"/>
          </w:tcPr>
          <w:p>
            <w:r>
              <w:rPr>
                <w:b w:val="false"/>
                <w:bCs w:val="false"/>
              </w:rPr>
              <w:t xml:space="preserve">4. Secure part-time employment</w:t>
            </w:r>
          </w:p>
        </w:tc>
        <w:tc>
          <w:tcPr>
            <w:tcW w:type="dxa" w:w="2600"/>
            <w:tcMar>
              <w:top w:type="dxa" w:w="80"/>
              <w:left w:type="dxa" w:w="100"/>
              <w:bottom w:type="dxa" w:w="80"/>
              <w:right w:type="dxa" w:w="100"/>
            </w:tcMar>
            <w:vAlign w:val="center"/>
          </w:tcPr>
          <w:p>
            <w:r>
              <w:rPr>
                <w:b w:val="false"/>
                <w:bCs w:val="false"/>
              </w:rPr>
              <w:t xml:space="preserve">Not engaged with any employment support service</w:t>
            </w:r>
          </w:p>
        </w:tc>
        <w:tc>
          <w:tcPr>
            <w:tcW w:type="dxa" w:w="2600"/>
            <w:tcMar>
              <w:top w:type="dxa" w:w="80"/>
              <w:left w:type="dxa" w:w="100"/>
              <w:bottom w:type="dxa" w:w="80"/>
              <w:right w:type="dxa" w:w="100"/>
            </w:tcMar>
            <w:vAlign w:val="center"/>
          </w:tcPr>
          <w:p>
            <w:r>
              <w:rPr>
                <w:b w:val="false"/>
                <w:bCs w:val="false"/>
              </w:rPr>
              <w:t xml:space="preserve">Completed 6-week retail traineeship with WorkSkil Australia; job interview scheduled 4 Aug 2026</w:t>
            </w:r>
          </w:p>
        </w:tc>
        <w:tc>
          <w:tcPr>
            <w:tcW w:type="dxa" w:w="2600"/>
            <w:tcMar>
              <w:top w:type="dxa" w:w="80"/>
              <w:left w:type="dxa" w:w="100"/>
              <w:bottom w:type="dxa" w:w="80"/>
              <w:right w:type="dxa" w:w="100"/>
            </w:tcMar>
            <w:vAlign w:val="center"/>
          </w:tcPr>
          <w:p>
            <w:r>
              <w:rPr>
                <w:b w:val="false"/>
                <w:bCs w:val="false"/>
              </w:rPr>
              <w:t xml:space="preserve">$1,760 of $3,800 (Capacity Building - Finding &amp; Keeping a Job)</w:t>
            </w:r>
          </w:p>
        </w:tc>
      </w:tr>
    </w:tbl>
    <w:p>
      <w:pPr>
        <w:spacing w:after="200"/>
      </w:pPr>
    </w:p>
    <w:p>
      <w:pPr>
        <w:pStyle w:val="Heading1"/>
        <w:spacing w:after="150" w:before="300"/>
      </w:pPr>
      <w:r>
        <w:t xml:space="preserve">4. Detailed Progress Notes</w:t>
      </w:r>
    </w:p>
    <w:p>
      <w:pPr>
        <w:pStyle w:val="Heading2"/>
        <w:spacing w:after="120" w:before="250"/>
      </w:pPr>
      <w:r>
        <w:t xml:space="preserve">4.1 Mobility</w:t>
      </w:r>
    </w:p>
    <w:p>
      <w:pPr>
        <w:spacing w:after="120"/>
      </w:pPr>
      <w:r>
        <w:t xml:space="preserve">Jordan received a new power wheelchair (Permobil M3, funded under Assistive Technology) on 3 March 2026 following an Occupational Therapy assessment. Physiotherapy sessions with Bayside Physio (fortnightly, 45 minutes) have improved trunk stability, reducing fall risk during transfers by an estimated 60% based on the Berg Balance Scale (score improved from 28 to 41).</w:t>
      </w:r>
    </w:p>
    <w:p>
      <w:pPr>
        <w:pStyle w:val="Heading2"/>
        <w:spacing w:after="120" w:before="250"/>
      </w:pPr>
      <w:r>
        <w:t xml:space="preserve">4.2 Community Participation</w:t>
      </w:r>
    </w:p>
    <w:p>
      <w:pPr>
        <w:spacing w:after="120"/>
      </w:pPr>
      <w:r>
        <w:t xml:space="preserve">Jordan joined the Fortitude Valley Men's Shed in February 2026, initially attending with a support worker (Instant Care Solutions) for the first 8 weeks. He now attends independently using taxi subsidy transport. One incident occurred on 22 April 2026 where Jordan left a session early due to sensory overload from power tools; this has since been managed with noise-cancelling headphones supplied by the Shed.</w:t>
      </w:r>
    </w:p>
    <w:p>
      <w:pPr>
        <w:pStyle w:val="Heading2"/>
        <w:spacing w:after="120" w:before="250"/>
      </w:pPr>
      <w:r>
        <w:t xml:space="preserve">4.3 Communication</w:t>
      </w:r>
    </w:p>
    <w:p>
      <w:pPr>
        <w:spacing w:after="120"/>
      </w:pPr>
      <w:r>
        <w:t xml:space="preserve">Speech pathology sessions with Clara Bennett (Bayside Speech &amp; Language, weekly 30-minute sessions) have focused on transitioning Jordan from a single-word AAC board to the Proloquo2Go app on a supplied iPad. Data from the provider shows vocabulary use has grown from approximately 45 symbols to over 400 symbols, with a marked reduction in frustration-related behaviours documented in his behaviour log.</w:t>
      </w:r>
    </w:p>
    <w:p>
      <w:pPr>
        <w:pStyle w:val="Heading2"/>
        <w:spacing w:after="120" w:before="250"/>
      </w:pPr>
      <w:r>
        <w:t xml:space="preserve">4.4 Employment</w:t>
      </w:r>
    </w:p>
    <w:p>
      <w:pPr>
        <w:spacing w:after="120"/>
      </w:pPr>
      <w:r>
        <w:t xml:space="preserve">Jordan completed a 6-week paid retail traineeship with Bunnings Warehouse Chermside, facilitated by WorkSkil Australia (Disability Employment Services provider). Feedback from his workplace supervisor, Mark Douglas, rated his reliability and customer interaction skills as 'exceeding expectations'. A follow-up interview for a permanent 15-hour/week position is scheduled for 4 August 2026.</w:t>
      </w:r>
    </w:p>
    <w:p>
      <w:pPr>
        <w:pStyle w:val="Heading1"/>
        <w:spacing w:after="150" w:before="300"/>
      </w:pPr>
      <w:r>
        <w:t xml:space="preserve">5. Support Utilisation Summary</w:t>
      </w:r>
    </w:p>
    <w:p>
      <w:pPr>
        <w:spacing w:after="120"/>
      </w:pPr>
      <w:r>
        <w:t xml:space="preserve">Total plan budget: $19,500. Total utilised to 30 June 2026: $12,010 (61.6%). No categories are currently over-utilised; Core Supports – Assistive Technology is tracking slightly ahead of the pro-rata benchmark due to the wheelchair purchase occurring early in the plan period.</w:t>
      </w:r>
    </w:p>
    <w:p>
      <w:pPr>
        <w:pStyle w:val="Heading1"/>
        <w:spacing w:after="150" w:before="300"/>
      </w:pPr>
      <w:r>
        <w:t xml:space="preserve">6. Risks and Considerations</w:t>
      </w:r>
    </w:p>
    <w:p>
      <w:pPr>
        <w:pStyle w:val="ListParagraph"/>
        <w:numPr>
          <w:ilvl w:val="0"/>
          <w:numId w:val="1"/>
        </w:numPr>
        <w:spacing w:after="80"/>
      </w:pPr>
      <w:r>
        <w:t xml:space="preserve">Jordan's tenancy agreement at his current supported independent living (SIL) property (Coorparoo) is due for renewal on 30 September 2026 — housing stability should be confirmed before the plan reassessment.</w:t>
      </w:r>
    </w:p>
    <w:p>
      <w:pPr>
        <w:pStyle w:val="ListParagraph"/>
        <w:numPr>
          <w:ilvl w:val="0"/>
          <w:numId w:val="1"/>
        </w:numPr>
        <w:spacing w:after="80"/>
      </w:pPr>
      <w:r>
        <w:t xml:space="preserve">Family carer (mother, Linda Reyes) has indicated reduced availability from October 2026 due to her own medical treatment; additional informal-support contingency should be discussed.</w:t>
      </w:r>
    </w:p>
    <w:p>
      <w:pPr>
        <w:pStyle w:val="ListParagraph"/>
        <w:numPr>
          <w:ilvl w:val="0"/>
          <w:numId w:val="1"/>
        </w:numPr>
        <w:spacing w:after="80"/>
      </w:pPr>
      <w:r>
        <w:t xml:space="preserve">No incidents of restrictive practice have been used or reported during this period.</w:t>
      </w:r>
    </w:p>
    <w:p>
      <w:pPr>
        <w:pStyle w:val="Heading1"/>
        <w:spacing w:after="150" w:before="300"/>
      </w:pPr>
      <w:r>
        <w:t xml:space="preserve">7. Recommendations for Next Plan</w:t>
      </w:r>
    </w:p>
    <w:p>
      <w:pPr>
        <w:pStyle w:val="ListParagraph"/>
        <w:numPr>
          <w:ilvl w:val="0"/>
          <w:numId w:val="1"/>
        </w:numPr>
        <w:spacing w:after="80"/>
      </w:pPr>
      <w:r>
        <w:t xml:space="preserve">Increase Core Supports – Social &amp; Community Participation funding by approximately 20% to sustain Men's Shed attendance plus a new goal of joining a weekend cricket social competition (participant-expressed interest, noted 12 June 2026).</w:t>
      </w:r>
    </w:p>
    <w:p>
      <w:pPr>
        <w:pStyle w:val="ListParagraph"/>
        <w:numPr>
          <w:ilvl w:val="0"/>
          <w:numId w:val="1"/>
        </w:numPr>
        <w:spacing w:after="80"/>
      </w:pPr>
      <w:r>
        <w:t xml:space="preserve">Retain Capacity Building – Finding and Keeping a Job funding to support workplace induction and ongoing job coaching if the August interview is successful.</w:t>
      </w:r>
    </w:p>
    <w:p>
      <w:pPr>
        <w:pStyle w:val="ListParagraph"/>
        <w:numPr>
          <w:ilvl w:val="0"/>
          <w:numId w:val="1"/>
        </w:numPr>
        <w:spacing w:after="80"/>
      </w:pPr>
      <w:r>
        <w:t xml:space="preserve">Introduce a Behaviour Support Plan review given the reduction in frustration behaviours, to determine whether continued speech pathology intensity is still required or can step down to fortnightly.</w:t>
      </w:r>
    </w:p>
    <w:p>
      <w:pPr>
        <w:pStyle w:val="ListParagraph"/>
        <w:numPr>
          <w:ilvl w:val="0"/>
          <w:numId w:val="1"/>
        </w:numPr>
        <w:spacing w:after="80"/>
      </w:pPr>
      <w:r>
        <w:t xml:space="preserve">Confirm SIL housing arrangements prior to 30 September 2026 tenancy renewal date.</w:t>
      </w:r>
    </w:p>
    <w:p>
      <w:pPr>
        <w:pBdr>
          <w:bottom w:val="single" w:color="999999" w:sz="6" w:space="1"/>
        </w:pBdr>
        <w:spacing w:after="200"/>
      </w:pPr>
    </w:p>
    <w:p>
      <w:r>
        <w:rPr>
          <w:i/>
          <w:iCs/>
          <w:color w:val="888888"/>
          <w:sz w:val="18"/>
          <w:szCs w:val="18"/>
        </w:rPr>
        <w:t xml:space="preserve">This report is a fictional sample document created for software testing / demonstration purposes only. It does not describe a real person.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2026-07-19T11:14:25.441Z</dcterms:created>
  <dcterms:modified xsi:type="dcterms:W3CDTF">2026-07-19T11:14:25.455Z</dcterms:modified>
</cp:coreProperties>
</file>

<file path=docProps/custom.xml><?xml version="1.0" encoding="utf-8"?>
<Properties xmlns="http://schemas.openxmlformats.org/officeDocument/2006/custom-properties" xmlns:vt="http://schemas.openxmlformats.org/officeDocument/2006/docPropsVTypes"/>
</file>