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Battery Storage Economics</w:t>
      </w:r>
    </w:p>
    <w:p>
      <w:pPr>
        <w:pStyle w:val="Heading1"/>
      </w:pPr>
      <w:r>
        <w:t>Summary</w:t>
      </w:r>
    </w:p>
    <w:p>
      <w:r>
        <w:t>A home battery pays back when the net metering export rate is low and the retail tariff is high.</w:t>
      </w:r>
    </w:p>
    <w:p>
      <w:r>
        <w:t>Lithium-ion battery prices fell, but the payback period is still around ten years.</w:t>
      </w:r>
    </w:p>
    <w:p>
      <w:pPr>
        <w:pStyle w:val="Heading1"/>
      </w:pPr>
      <w:r>
        <w:t>Assumptions</w:t>
      </w:r>
    </w:p>
    <w:p>
      <w:r>
        <w:t>Battery capacity of 10 kilowatt-hours, one cycle per day, inverter efficiency of 95 percent. Solar energy from rooftop solar charges the battery.</w:t>
      </w:r>
    </w:p>
    <w:p>
      <w:r>
        <w:t xml:space="preserve">See </w:t>
      </w:r>
      <w:hyperlink r:id="rId9">
        <w:r>
          <w:t>https://doi.org/10.5555/grid.solar.2024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5555/grid.solar.2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