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700ec7e1402262c415c1ebef5aea2b028fc0d6"/>
    <w:p>
      <w:pPr>
        <w:pStyle w:val="Heading1"/>
      </w:pPr>
      <w:r>
        <w:t xml:space="preserve">Amplus CRM - Feature &amp; Functionality Proposal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presents what Amplus Subsidy Solutions will receive as part of the CRM platform.</w:t>
      </w:r>
    </w:p>
    <w:p>
      <w:pPr>
        <w:pStyle w:val="BodyText"/>
      </w:pPr>
      <w:r>
        <w:t xml:space="preserve">The system will provide an end-to-end operations framework for lead handling, client management, project execution, invoicing, and internal control for back-office teams.</w:t>
      </w:r>
    </w:p>
    <w:bookmarkEnd w:id="9"/>
    <w:bookmarkStart w:id="10" w:name="user-roles"/>
    <w:p>
      <w:pPr>
        <w:pStyle w:val="Heading2"/>
      </w:pPr>
      <w:r>
        <w:t xml:space="preserve">2. User Roles</w:t>
      </w:r>
    </w:p>
    <w:p>
      <w:pPr>
        <w:pStyle w:val="FirstParagraph"/>
      </w:pPr>
      <w:r>
        <w:t xml:space="preserve">The CRM will support two primary roles: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2"/>
        </w:numPr>
      </w:pPr>
      <w:r>
        <w:t xml:space="preserve">Full access across all modules</w:t>
      </w:r>
    </w:p>
    <w:p>
      <w:pPr>
        <w:pStyle w:val="Compact"/>
        <w:numPr>
          <w:ilvl w:val="0"/>
          <w:numId w:val="1002"/>
        </w:numPr>
      </w:pPr>
      <w:r>
        <w:t xml:space="preserve">User management and role/module access control</w:t>
      </w:r>
    </w:p>
    <w:p>
      <w:pPr>
        <w:pStyle w:val="Compact"/>
        <w:numPr>
          <w:ilvl w:val="0"/>
          <w:numId w:val="1002"/>
        </w:numPr>
      </w:pPr>
      <w:r>
        <w:t xml:space="preserve">Configuration management and workflow supervision</w:t>
      </w:r>
    </w:p>
    <w:p>
      <w:pPr>
        <w:pStyle w:val="Compact"/>
        <w:numPr>
          <w:ilvl w:val="0"/>
          <w:numId w:val="1002"/>
        </w:numPr>
      </w:pPr>
      <w:r>
        <w:t xml:space="preserve">Project/invoice governance and operational oversight</w:t>
      </w:r>
    </w:p>
    <w:p>
      <w:pPr>
        <w:pStyle w:val="Compact"/>
        <w:numPr>
          <w:ilvl w:val="0"/>
          <w:numId w:val="1003"/>
        </w:numPr>
      </w:pPr>
      <w:r>
        <w:t xml:space="preserve">User</w:t>
      </w:r>
    </w:p>
    <w:p>
      <w:pPr>
        <w:pStyle w:val="Compact"/>
        <w:numPr>
          <w:ilvl w:val="0"/>
          <w:numId w:val="1004"/>
        </w:numPr>
      </w:pPr>
      <w:r>
        <w:t xml:space="preserve">Access only to assigned modules</w:t>
      </w:r>
    </w:p>
    <w:p>
      <w:pPr>
        <w:pStyle w:val="Compact"/>
        <w:numPr>
          <w:ilvl w:val="0"/>
          <w:numId w:val="1004"/>
        </w:numPr>
      </w:pPr>
      <w:r>
        <w:t xml:space="preserve">Day-to-day execution based on access rights</w:t>
      </w:r>
    </w:p>
    <w:p>
      <w:pPr>
        <w:pStyle w:val="Compact"/>
        <w:numPr>
          <w:ilvl w:val="0"/>
          <w:numId w:val="1004"/>
        </w:numPr>
      </w:pPr>
      <w:r>
        <w:t xml:space="preserve">Controlled visibility across lead/client/project workflows</w:t>
      </w:r>
    </w:p>
    <w:bookmarkEnd w:id="10"/>
    <w:bookmarkStart w:id="11" w:name="dashboard-operational-visibility"/>
    <w:p>
      <w:pPr>
        <w:pStyle w:val="Heading2"/>
      </w:pPr>
      <w:r>
        <w:t xml:space="preserve">3. Dashboard &amp; Operational Visibility</w:t>
      </w:r>
    </w:p>
    <w:p>
      <w:pPr>
        <w:pStyle w:val="FirstParagraph"/>
      </w:pPr>
      <w:r>
        <w:t xml:space="preserve">The platform will provide a role-aware dashboard with:</w:t>
      </w:r>
    </w:p>
    <w:p>
      <w:pPr>
        <w:pStyle w:val="Compact"/>
        <w:numPr>
          <w:ilvl w:val="0"/>
          <w:numId w:val="1005"/>
        </w:numPr>
      </w:pPr>
      <w:r>
        <w:t xml:space="preserve">Admin-specific executive metrics and distribution insights</w:t>
      </w:r>
    </w:p>
    <w:p>
      <w:pPr>
        <w:pStyle w:val="Compact"/>
        <w:numPr>
          <w:ilvl w:val="0"/>
          <w:numId w:val="1005"/>
        </w:numPr>
      </w:pPr>
      <w:r>
        <w:t xml:space="preserve">User-specific</w:t>
      </w:r>
      <w:r>
        <w:t xml:space="preserve"> </w:t>
      </w:r>
      <w:r>
        <w:t xml:space="preserve">“My Work”</w:t>
      </w:r>
      <w:r>
        <w:t xml:space="preserve"> </w:t>
      </w:r>
      <w:r>
        <w:t xml:space="preserve">execution dashboard</w:t>
      </w:r>
    </w:p>
    <w:p>
      <w:pPr>
        <w:pStyle w:val="Compact"/>
        <w:numPr>
          <w:ilvl w:val="0"/>
          <w:numId w:val="1005"/>
        </w:numPr>
      </w:pPr>
      <w:r>
        <w:t xml:space="preserve">Pending task visibility with direct action navigation</w:t>
      </w:r>
    </w:p>
    <w:p>
      <w:pPr>
        <w:pStyle w:val="Compact"/>
        <w:numPr>
          <w:ilvl w:val="0"/>
          <w:numId w:val="1005"/>
        </w:numPr>
      </w:pPr>
      <w:r>
        <w:t xml:space="preserve">Stage-level progress indicators</w:t>
      </w:r>
    </w:p>
    <w:p>
      <w:pPr>
        <w:pStyle w:val="Compact"/>
        <w:numPr>
          <w:ilvl w:val="0"/>
          <w:numId w:val="1005"/>
        </w:numPr>
      </w:pPr>
      <w:r>
        <w:t xml:space="preserve">KPI readiness for future reports</w:t>
      </w:r>
    </w:p>
    <w:bookmarkEnd w:id="11"/>
    <w:bookmarkStart w:id="12" w:name="lead-management"/>
    <w:p>
      <w:pPr>
        <w:pStyle w:val="Heading2"/>
      </w:pPr>
      <w:r>
        <w:t xml:space="preserve">4. Lead Management</w:t>
      </w:r>
    </w:p>
    <w:p>
      <w:pPr>
        <w:pStyle w:val="FirstParagraph"/>
      </w:pPr>
      <w:r>
        <w:t xml:space="preserve">The CRM will include complete lead lifecycle management:</w:t>
      </w:r>
    </w:p>
    <w:p>
      <w:pPr>
        <w:pStyle w:val="Compact"/>
        <w:numPr>
          <w:ilvl w:val="0"/>
          <w:numId w:val="1006"/>
        </w:numPr>
      </w:pPr>
      <w:r>
        <w:t xml:space="preserve">Manual lead creation with structured multi-step intake form</w:t>
      </w:r>
    </w:p>
    <w:p>
      <w:pPr>
        <w:pStyle w:val="Compact"/>
        <w:numPr>
          <w:ilvl w:val="0"/>
          <w:numId w:val="1006"/>
        </w:numPr>
      </w:pPr>
      <w:r>
        <w:t xml:space="preserve">WordPress contact-form webhook intake</w:t>
      </w:r>
    </w:p>
    <w:p>
      <w:pPr>
        <w:pStyle w:val="Compact"/>
        <w:numPr>
          <w:ilvl w:val="0"/>
          <w:numId w:val="1006"/>
        </w:numPr>
      </w:pPr>
      <w:r>
        <w:t xml:space="preserve">Lead sharing across authorized users</w:t>
      </w:r>
    </w:p>
    <w:p>
      <w:pPr>
        <w:pStyle w:val="Compact"/>
        <w:numPr>
          <w:ilvl w:val="0"/>
          <w:numId w:val="1006"/>
        </w:numPr>
      </w:pPr>
      <w:r>
        <w:t xml:space="preserve">Lead pipeline statuses: NEW, CONTACTED, FOLLOW_UP, CONVERTED, LOST</w:t>
      </w:r>
    </w:p>
    <w:p>
      <w:pPr>
        <w:pStyle w:val="Compact"/>
        <w:numPr>
          <w:ilvl w:val="0"/>
          <w:numId w:val="1006"/>
        </w:numPr>
      </w:pPr>
      <w:r>
        <w:t xml:space="preserve">Lead temperature classification: HOT/WARM/COLD (time-driven)</w:t>
      </w:r>
    </w:p>
    <w:p>
      <w:pPr>
        <w:pStyle w:val="Compact"/>
        <w:numPr>
          <w:ilvl w:val="0"/>
          <w:numId w:val="1006"/>
        </w:numPr>
      </w:pPr>
      <w:r>
        <w:t xml:space="preserve">Lead notes with author and date-time</w:t>
      </w:r>
    </w:p>
    <w:p>
      <w:pPr>
        <w:pStyle w:val="Compact"/>
        <w:numPr>
          <w:ilvl w:val="0"/>
          <w:numId w:val="1006"/>
        </w:numPr>
      </w:pPr>
      <w:r>
        <w:t xml:space="preserve">Call log with date-time, duration, and summary</w:t>
      </w:r>
    </w:p>
    <w:p>
      <w:pPr>
        <w:pStyle w:val="Compact"/>
        <w:numPr>
          <w:ilvl w:val="0"/>
          <w:numId w:val="1006"/>
        </w:numPr>
      </w:pPr>
      <w:r>
        <w:t xml:space="preserve">Follow-up reports (1/2/3) with multiple entries support</w:t>
      </w:r>
    </w:p>
    <w:p>
      <w:pPr>
        <w:pStyle w:val="Compact"/>
        <w:numPr>
          <w:ilvl w:val="0"/>
          <w:numId w:val="1006"/>
        </w:numPr>
      </w:pPr>
      <w:r>
        <w:t xml:space="preserve">Timeline and activity history for auditability</w:t>
      </w:r>
    </w:p>
    <w:p>
      <w:pPr>
        <w:pStyle w:val="Compact"/>
        <w:numPr>
          <w:ilvl w:val="0"/>
          <w:numId w:val="1006"/>
        </w:numPr>
      </w:pPr>
      <w:r>
        <w:t xml:space="preserve">Conversion flow from lead to client and project</w:t>
      </w:r>
    </w:p>
    <w:bookmarkEnd w:id="12"/>
    <w:bookmarkStart w:id="13" w:name="client-management"/>
    <w:p>
      <w:pPr>
        <w:pStyle w:val="Heading2"/>
      </w:pPr>
      <w:r>
        <w:t xml:space="preserve">5. Client Management</w:t>
      </w:r>
    </w:p>
    <w:p>
      <w:pPr>
        <w:pStyle w:val="FirstParagraph"/>
      </w:pPr>
      <w:r>
        <w:t xml:space="preserve">The CRM will provide a centralized client module:</w:t>
      </w:r>
    </w:p>
    <w:p>
      <w:pPr>
        <w:pStyle w:val="Compact"/>
        <w:numPr>
          <w:ilvl w:val="0"/>
          <w:numId w:val="1007"/>
        </w:numPr>
      </w:pPr>
      <w:r>
        <w:t xml:space="preserve">Client master creation and maintenance</w:t>
      </w:r>
    </w:p>
    <w:p>
      <w:pPr>
        <w:pStyle w:val="Compact"/>
        <w:numPr>
          <w:ilvl w:val="0"/>
          <w:numId w:val="1007"/>
        </w:numPr>
      </w:pPr>
      <w:r>
        <w:t xml:space="preserve">Linkage from converted lead or direct onboarding</w:t>
      </w:r>
    </w:p>
    <w:p>
      <w:pPr>
        <w:pStyle w:val="Compact"/>
        <w:numPr>
          <w:ilvl w:val="0"/>
          <w:numId w:val="1007"/>
        </w:numPr>
      </w:pPr>
      <w:r>
        <w:t xml:space="preserve">Contact and profile tracking</w:t>
      </w:r>
    </w:p>
    <w:p>
      <w:pPr>
        <w:pStyle w:val="Compact"/>
        <w:numPr>
          <w:ilvl w:val="0"/>
          <w:numId w:val="1007"/>
        </w:numPr>
      </w:pPr>
      <w:r>
        <w:t xml:space="preserve">Client-to-project mapping</w:t>
      </w:r>
    </w:p>
    <w:bookmarkEnd w:id="13"/>
    <w:bookmarkStart w:id="14" w:name="project-management-execution"/>
    <w:p>
      <w:pPr>
        <w:pStyle w:val="Heading2"/>
      </w:pPr>
      <w:r>
        <w:t xml:space="preserve">6. Project Management &amp; Execution</w:t>
      </w:r>
    </w:p>
    <w:p>
      <w:pPr>
        <w:pStyle w:val="FirstParagraph"/>
      </w:pPr>
      <w:r>
        <w:t xml:space="preserve">Each converted or onboarded client project will support:</w:t>
      </w:r>
    </w:p>
    <w:p>
      <w:pPr>
        <w:pStyle w:val="Compact"/>
        <w:numPr>
          <w:ilvl w:val="0"/>
          <w:numId w:val="1008"/>
        </w:numPr>
      </w:pPr>
      <w:r>
        <w:t xml:space="preserve">Milestone-based project structure</w:t>
      </w:r>
    </w:p>
    <w:p>
      <w:pPr>
        <w:pStyle w:val="Compact"/>
        <w:numPr>
          <w:ilvl w:val="0"/>
          <w:numId w:val="1008"/>
        </w:numPr>
      </w:pPr>
      <w:r>
        <w:t xml:space="preserve">Task-level execution tracking</w:t>
      </w:r>
    </w:p>
    <w:p>
      <w:pPr>
        <w:pStyle w:val="Compact"/>
        <w:numPr>
          <w:ilvl w:val="0"/>
          <w:numId w:val="1008"/>
        </w:numPr>
      </w:pPr>
      <w:r>
        <w:t xml:space="preserve">Assignment, comments, and collaboration</w:t>
      </w:r>
    </w:p>
    <w:p>
      <w:pPr>
        <w:pStyle w:val="Compact"/>
        <w:numPr>
          <w:ilvl w:val="0"/>
          <w:numId w:val="1008"/>
        </w:numPr>
      </w:pPr>
      <w:r>
        <w:t xml:space="preserve">PDF document upload for task evidence</w:t>
      </w:r>
    </w:p>
    <w:p>
      <w:pPr>
        <w:pStyle w:val="Compact"/>
        <w:numPr>
          <w:ilvl w:val="0"/>
          <w:numId w:val="1008"/>
        </w:numPr>
      </w:pPr>
      <w:r>
        <w:t xml:space="preserve">Stage tabs with status indicators</w:t>
      </w:r>
    </w:p>
    <w:p>
      <w:pPr>
        <w:pStyle w:val="Compact"/>
        <w:numPr>
          <w:ilvl w:val="0"/>
          <w:numId w:val="1008"/>
        </w:numPr>
      </w:pPr>
      <w:r>
        <w:t xml:space="preserve">Automated progression logic based on task completion</w:t>
      </w:r>
    </w:p>
    <w:p>
      <w:pPr>
        <w:pStyle w:val="Compact"/>
        <w:numPr>
          <w:ilvl w:val="0"/>
          <w:numId w:val="1008"/>
        </w:numPr>
      </w:pPr>
      <w:r>
        <w:t xml:space="preserve">Project timeline with execution events</w:t>
      </w:r>
    </w:p>
    <w:p>
      <w:pPr>
        <w:pStyle w:val="Compact"/>
        <w:numPr>
          <w:ilvl w:val="0"/>
          <w:numId w:val="1008"/>
        </w:numPr>
      </w:pPr>
      <w:r>
        <w:t xml:space="preserve">Project process tracking panel for operational checkpoints</w:t>
      </w:r>
    </w:p>
    <w:bookmarkEnd w:id="14"/>
    <w:bookmarkStart w:id="15" w:name="X6ec1a04032423a478f6f8597cd052855b5617f0"/>
    <w:p>
      <w:pPr>
        <w:pStyle w:val="Heading2"/>
      </w:pPr>
      <w:r>
        <w:t xml:space="preserve">7. Project Process Tracking (Admin-Controlled)</w:t>
      </w:r>
    </w:p>
    <w:p>
      <w:pPr>
        <w:pStyle w:val="FirstParagraph"/>
      </w:pPr>
      <w:r>
        <w:t xml:space="preserve">The CRM will provide an admin-managed process-tracking section at project level, including:</w:t>
      </w:r>
    </w:p>
    <w:p>
      <w:pPr>
        <w:pStyle w:val="Compact"/>
        <w:numPr>
          <w:ilvl w:val="0"/>
          <w:numId w:val="1009"/>
        </w:numPr>
      </w:pPr>
      <w:r>
        <w:t xml:space="preserve">CTA shared date</w:t>
      </w:r>
    </w:p>
    <w:p>
      <w:pPr>
        <w:pStyle w:val="Compact"/>
        <w:numPr>
          <w:ilvl w:val="0"/>
          <w:numId w:val="1009"/>
        </w:numPr>
      </w:pPr>
      <w:r>
        <w:t xml:space="preserve">Inquiry forwarding date</w:t>
      </w:r>
    </w:p>
    <w:p>
      <w:pPr>
        <w:pStyle w:val="Compact"/>
        <w:numPr>
          <w:ilvl w:val="0"/>
          <w:numId w:val="1009"/>
        </w:numPr>
      </w:pPr>
      <w:r>
        <w:t xml:space="preserve">Milestone checkpoint dates (M1/M2/M3)</w:t>
      </w:r>
    </w:p>
    <w:p>
      <w:pPr>
        <w:pStyle w:val="Compact"/>
        <w:numPr>
          <w:ilvl w:val="0"/>
          <w:numId w:val="1009"/>
        </w:numPr>
      </w:pPr>
      <w:r>
        <w:t xml:space="preserve">Advance received date and amount</w:t>
      </w:r>
    </w:p>
    <w:p>
      <w:pPr>
        <w:pStyle w:val="Compact"/>
        <w:numPr>
          <w:ilvl w:val="0"/>
          <w:numId w:val="1009"/>
        </w:numPr>
      </w:pPr>
      <w:r>
        <w:t xml:space="preserve">Final invoice completion date</w:t>
      </w:r>
    </w:p>
    <w:p>
      <w:pPr>
        <w:pStyle w:val="Compact"/>
        <w:numPr>
          <w:ilvl w:val="0"/>
          <w:numId w:val="1009"/>
        </w:numPr>
      </w:pPr>
      <w:r>
        <w:t xml:space="preserve">Approx project and service values</w:t>
      </w:r>
    </w:p>
    <w:p>
      <w:pPr>
        <w:pStyle w:val="FirstParagraph"/>
      </w:pPr>
      <w:r>
        <w:t xml:space="preserve">All updates will be time-stamped and actor-tracked for reporting and governance.</w:t>
      </w:r>
    </w:p>
    <w:bookmarkEnd w:id="15"/>
    <w:bookmarkStart w:id="16" w:name="invoice-management"/>
    <w:p>
      <w:pPr>
        <w:pStyle w:val="Heading2"/>
      </w:pPr>
      <w:r>
        <w:t xml:space="preserve">8. Invoice Management</w:t>
      </w:r>
    </w:p>
    <w:p>
      <w:pPr>
        <w:pStyle w:val="FirstParagraph"/>
      </w:pPr>
      <w:r>
        <w:t xml:space="preserve">The CRM will include client/project-linked invoice operations:</w:t>
      </w:r>
    </w:p>
    <w:p>
      <w:pPr>
        <w:pStyle w:val="Compact"/>
        <w:numPr>
          <w:ilvl w:val="0"/>
          <w:numId w:val="1010"/>
        </w:numPr>
      </w:pPr>
      <w:r>
        <w:t xml:space="preserve">Step-based invoice creation and structured editing</w:t>
      </w:r>
    </w:p>
    <w:p>
      <w:pPr>
        <w:pStyle w:val="Compact"/>
        <w:numPr>
          <w:ilvl w:val="0"/>
          <w:numId w:val="1010"/>
        </w:numPr>
      </w:pPr>
      <w:r>
        <w:t xml:space="preserve">Standard line item based invoice structure</w:t>
      </w:r>
    </w:p>
    <w:p>
      <w:pPr>
        <w:pStyle w:val="Compact"/>
        <w:numPr>
          <w:ilvl w:val="0"/>
          <w:numId w:val="1010"/>
        </w:numPr>
      </w:pPr>
      <w:r>
        <w:t xml:space="preserve">Tax and discount handling</w:t>
      </w:r>
    </w:p>
    <w:p>
      <w:pPr>
        <w:pStyle w:val="Compact"/>
        <w:numPr>
          <w:ilvl w:val="0"/>
          <w:numId w:val="1010"/>
        </w:numPr>
      </w:pPr>
      <w:r>
        <w:t xml:space="preserve">Status tracking: DRAFT, ISSUED, PARTIALLY_PAID, PAID, OVERDUE, CANCELLED</w:t>
      </w:r>
    </w:p>
    <w:p>
      <w:pPr>
        <w:pStyle w:val="Compact"/>
        <w:numPr>
          <w:ilvl w:val="0"/>
          <w:numId w:val="1010"/>
        </w:numPr>
      </w:pPr>
      <w:r>
        <w:t xml:space="preserve">Payment entry logging (offline/online reference support)</w:t>
      </w:r>
    </w:p>
    <w:p>
      <w:pPr>
        <w:pStyle w:val="Compact"/>
        <w:numPr>
          <w:ilvl w:val="0"/>
          <w:numId w:val="1010"/>
        </w:numPr>
      </w:pPr>
      <w:r>
        <w:t xml:space="preserve">Dedicated invoice details page for full lifecycle operations</w:t>
      </w:r>
    </w:p>
    <w:p>
      <w:pPr>
        <w:pStyle w:val="Compact"/>
        <w:numPr>
          <w:ilvl w:val="0"/>
          <w:numId w:val="1010"/>
        </w:numPr>
      </w:pPr>
      <w:r>
        <w:t xml:space="preserve">Dedicated in-app invoice PDF page (with back navigation context)</w:t>
      </w:r>
    </w:p>
    <w:p>
      <w:pPr>
        <w:pStyle w:val="Compact"/>
        <w:numPr>
          <w:ilvl w:val="0"/>
          <w:numId w:val="1010"/>
        </w:numPr>
      </w:pPr>
      <w:r>
        <w:t xml:space="preserve">In-app PDF controls: zoom, reset, rotate, and download</w:t>
      </w:r>
    </w:p>
    <w:p>
      <w:pPr>
        <w:pStyle w:val="Compact"/>
        <w:numPr>
          <w:ilvl w:val="0"/>
          <w:numId w:val="1010"/>
        </w:numPr>
      </w:pPr>
      <w:r>
        <w:t xml:space="preserve">Professional invoice PDF generation with table-safe layout and wrapped line-item descriptions</w:t>
      </w:r>
    </w:p>
    <w:p>
      <w:pPr>
        <w:pStyle w:val="Compact"/>
        <w:numPr>
          <w:ilvl w:val="0"/>
          <w:numId w:val="1010"/>
        </w:numPr>
      </w:pPr>
      <w:r>
        <w:t xml:space="preserve">View and download invoice PDF</w:t>
      </w:r>
    </w:p>
    <w:bookmarkEnd w:id="16"/>
    <w:bookmarkStart w:id="17" w:name="notifications-live-activity"/>
    <w:p>
      <w:pPr>
        <w:pStyle w:val="Heading2"/>
      </w:pPr>
      <w:r>
        <w:t xml:space="preserve">9. Notifications &amp; Live Activity</w:t>
      </w:r>
    </w:p>
    <w:p>
      <w:pPr>
        <w:pStyle w:val="FirstParagraph"/>
      </w:pPr>
      <w:r>
        <w:t xml:space="preserve">The system will include collaboration support through:</w:t>
      </w:r>
    </w:p>
    <w:p>
      <w:pPr>
        <w:pStyle w:val="Compact"/>
        <w:numPr>
          <w:ilvl w:val="0"/>
          <w:numId w:val="1011"/>
        </w:numPr>
      </w:pPr>
      <w:r>
        <w:t xml:space="preserve">Browser notifications</w:t>
      </w:r>
    </w:p>
    <w:p>
      <w:pPr>
        <w:pStyle w:val="Compact"/>
        <w:numPr>
          <w:ilvl w:val="0"/>
          <w:numId w:val="1011"/>
        </w:numPr>
      </w:pPr>
      <w:r>
        <w:t xml:space="preserve">Live activity feed (admin always visible)</w:t>
      </w:r>
    </w:p>
    <w:p>
      <w:pPr>
        <w:pStyle w:val="Compact"/>
        <w:numPr>
          <w:ilvl w:val="0"/>
          <w:numId w:val="1011"/>
        </w:numPr>
      </w:pPr>
      <w:r>
        <w:t xml:space="preserve">User live-activity visibility controlled by admin setting</w:t>
      </w:r>
    </w:p>
    <w:bookmarkEnd w:id="17"/>
    <w:bookmarkStart w:id="18" w:name="access-control-security"/>
    <w:p>
      <w:pPr>
        <w:pStyle w:val="Heading2"/>
      </w:pPr>
      <w:r>
        <w:t xml:space="preserve">10. Access Control &amp; Security</w:t>
      </w:r>
    </w:p>
    <w:p>
      <w:pPr>
        <w:pStyle w:val="FirstParagraph"/>
      </w:pPr>
      <w:r>
        <w:t xml:space="preserve">The CRM will enforce enterprise-grade access discipline:</w:t>
      </w:r>
    </w:p>
    <w:p>
      <w:pPr>
        <w:pStyle w:val="Compact"/>
        <w:numPr>
          <w:ilvl w:val="0"/>
          <w:numId w:val="1012"/>
        </w:numPr>
      </w:pPr>
      <w:r>
        <w:t xml:space="preserve">JWT authentication</w:t>
      </w:r>
    </w:p>
    <w:p>
      <w:pPr>
        <w:pStyle w:val="Compact"/>
        <w:numPr>
          <w:ilvl w:val="0"/>
          <w:numId w:val="1012"/>
        </w:numPr>
      </w:pPr>
      <w:r>
        <w:t xml:space="preserve">Role-based controls (Admin/User)</w:t>
      </w:r>
    </w:p>
    <w:p>
      <w:pPr>
        <w:pStyle w:val="Compact"/>
        <w:numPr>
          <w:ilvl w:val="0"/>
          <w:numId w:val="1012"/>
        </w:numPr>
      </w:pPr>
      <w:r>
        <w:t xml:space="preserve">Module-level access assignment by admin</w:t>
      </w:r>
    </w:p>
    <w:p>
      <w:pPr>
        <w:pStyle w:val="Compact"/>
        <w:numPr>
          <w:ilvl w:val="0"/>
          <w:numId w:val="1012"/>
        </w:numPr>
      </w:pPr>
      <w:r>
        <w:t xml:space="preserve">Sidebar and route visibility based on assigned modules</w:t>
      </w:r>
    </w:p>
    <w:p>
      <w:pPr>
        <w:pStyle w:val="Compact"/>
        <w:numPr>
          <w:ilvl w:val="0"/>
          <w:numId w:val="1012"/>
        </w:numPr>
      </w:pPr>
      <w:r>
        <w:t xml:space="preserve">API-level permission checks</w:t>
      </w:r>
    </w:p>
    <w:p>
      <w:pPr>
        <w:pStyle w:val="Compact"/>
        <w:numPr>
          <w:ilvl w:val="0"/>
          <w:numId w:val="1012"/>
        </w:numPr>
      </w:pPr>
      <w:r>
        <w:t xml:space="preserve">Report endpoint visibility restricted to authorized admin scope</w:t>
      </w:r>
    </w:p>
    <w:bookmarkEnd w:id="18"/>
    <w:bookmarkStart w:id="19" w:name="audit-reporting-readiness"/>
    <w:p>
      <w:pPr>
        <w:pStyle w:val="Heading2"/>
      </w:pPr>
      <w:r>
        <w:t xml:space="preserve">11. Audit &amp; Reporting Readiness</w:t>
      </w:r>
    </w:p>
    <w:p>
      <w:pPr>
        <w:pStyle w:val="FirstParagraph"/>
      </w:pPr>
      <w:r>
        <w:t xml:space="preserve">The solution will be built with long-term reporting and compliance readiness:</w:t>
      </w:r>
    </w:p>
    <w:p>
      <w:pPr>
        <w:pStyle w:val="Compact"/>
        <w:numPr>
          <w:ilvl w:val="0"/>
          <w:numId w:val="1013"/>
        </w:numPr>
      </w:pPr>
      <w:r>
        <w:t xml:space="preserve">Structured data capture across modules</w:t>
      </w:r>
    </w:p>
    <w:p>
      <w:pPr>
        <w:pStyle w:val="Compact"/>
        <w:numPr>
          <w:ilvl w:val="0"/>
          <w:numId w:val="1013"/>
        </w:numPr>
      </w:pPr>
      <w:r>
        <w:t xml:space="preserve">Timeline and actor tracking</w:t>
      </w:r>
    </w:p>
    <w:p>
      <w:pPr>
        <w:pStyle w:val="Compact"/>
        <w:numPr>
          <w:ilvl w:val="0"/>
          <w:numId w:val="1013"/>
        </w:numPr>
      </w:pPr>
      <w:r>
        <w:t xml:space="preserve">Audit logs for critical actions</w:t>
      </w:r>
    </w:p>
    <w:p>
      <w:pPr>
        <w:pStyle w:val="Compact"/>
        <w:numPr>
          <w:ilvl w:val="0"/>
          <w:numId w:val="1013"/>
        </w:numPr>
      </w:pPr>
      <w:r>
        <w:t xml:space="preserve">Data model extensibility for future reports such as:</w:t>
      </w:r>
    </w:p>
    <w:p>
      <w:pPr>
        <w:pStyle w:val="Compact"/>
        <w:numPr>
          <w:ilvl w:val="1"/>
          <w:numId w:val="1014"/>
        </w:numPr>
      </w:pPr>
      <w:r>
        <w:t xml:space="preserve">Response time analytics</w:t>
      </w:r>
    </w:p>
    <w:p>
      <w:pPr>
        <w:pStyle w:val="Compact"/>
        <w:numPr>
          <w:ilvl w:val="1"/>
          <w:numId w:val="1014"/>
        </w:numPr>
      </w:pPr>
      <w:r>
        <w:t xml:space="preserve">Conversion and communication statistics</w:t>
      </w:r>
    </w:p>
    <w:p>
      <w:pPr>
        <w:pStyle w:val="Compact"/>
        <w:numPr>
          <w:ilvl w:val="1"/>
          <w:numId w:val="1014"/>
        </w:numPr>
      </w:pPr>
      <w:r>
        <w:t xml:space="preserve">Stage-wise execution performance</w:t>
      </w:r>
    </w:p>
    <w:p>
      <w:pPr>
        <w:pStyle w:val="Compact"/>
        <w:numPr>
          <w:ilvl w:val="1"/>
          <w:numId w:val="1014"/>
        </w:numPr>
      </w:pPr>
      <w:r>
        <w:t xml:space="preserve">Revenue/invoice realization tracking</w:t>
      </w:r>
    </w:p>
    <w:bookmarkEnd w:id="19"/>
    <w:bookmarkStart w:id="20" w:name="scalability-future-expansion"/>
    <w:p>
      <w:pPr>
        <w:pStyle w:val="Heading2"/>
      </w:pPr>
      <w:r>
        <w:t xml:space="preserve">12. Scalability &amp; Future Expansion</w:t>
      </w:r>
    </w:p>
    <w:p>
      <w:pPr>
        <w:pStyle w:val="FirstParagraph"/>
      </w:pPr>
      <w:r>
        <w:t xml:space="preserve">The platform will be designed for modular growth.</w:t>
      </w:r>
    </w:p>
    <w:p>
      <w:pPr>
        <w:pStyle w:val="BodyText"/>
      </w:pPr>
      <w:r>
        <w:t xml:space="preserve">Future modules can be added without reworking core workflows, including:</w:t>
      </w:r>
    </w:p>
    <w:p>
      <w:pPr>
        <w:pStyle w:val="Compact"/>
        <w:numPr>
          <w:ilvl w:val="0"/>
          <w:numId w:val="1015"/>
        </w:numPr>
      </w:pPr>
      <w:r>
        <w:t xml:space="preserve">Advanced reporting and exports</w:t>
      </w:r>
    </w:p>
    <w:p>
      <w:pPr>
        <w:pStyle w:val="Compact"/>
        <w:numPr>
          <w:ilvl w:val="0"/>
          <w:numId w:val="1015"/>
        </w:numPr>
      </w:pPr>
      <w:r>
        <w:t xml:space="preserve">Configurable workflow engine</w:t>
      </w:r>
    </w:p>
    <w:p>
      <w:pPr>
        <w:pStyle w:val="Compact"/>
        <w:numPr>
          <w:ilvl w:val="0"/>
          <w:numId w:val="1015"/>
        </w:numPr>
      </w:pPr>
      <w:r>
        <w:t xml:space="preserve">SLA and escalation matrix</w:t>
      </w:r>
    </w:p>
    <w:p>
      <w:pPr>
        <w:pStyle w:val="Compact"/>
        <w:numPr>
          <w:ilvl w:val="0"/>
          <w:numId w:val="1015"/>
        </w:numPr>
      </w:pPr>
      <w:r>
        <w:t xml:space="preserve">Finance and reconciliation extensions</w:t>
      </w:r>
    </w:p>
    <w:p>
      <w:pPr>
        <w:pStyle w:val="Compact"/>
        <w:numPr>
          <w:ilvl w:val="0"/>
          <w:numId w:val="1015"/>
        </w:numPr>
      </w:pPr>
      <w:r>
        <w:t xml:space="preserve">Broader integration suite</w:t>
      </w:r>
    </w:p>
    <w:bookmarkEnd w:id="20"/>
    <w:bookmarkStart w:id="21" w:name="deliverables"/>
    <w:p>
      <w:pPr>
        <w:pStyle w:val="Heading2"/>
      </w:pPr>
      <w:r>
        <w:t xml:space="preserve">13. Deliverables</w:t>
      </w:r>
    </w:p>
    <w:p>
      <w:pPr>
        <w:pStyle w:val="FirstParagraph"/>
      </w:pPr>
      <w:r>
        <w:t xml:space="preserve">The CRM delivery will include:</w:t>
      </w:r>
    </w:p>
    <w:p>
      <w:pPr>
        <w:pStyle w:val="Compact"/>
        <w:numPr>
          <w:ilvl w:val="0"/>
          <w:numId w:val="1016"/>
        </w:numPr>
      </w:pPr>
      <w:r>
        <w:t xml:space="preserve">Web application (frontend + backend)</w:t>
      </w:r>
    </w:p>
    <w:p>
      <w:pPr>
        <w:pStyle w:val="Compact"/>
        <w:numPr>
          <w:ilvl w:val="0"/>
          <w:numId w:val="1016"/>
        </w:numPr>
      </w:pPr>
      <w:r>
        <w:t xml:space="preserve">Database models and business workflows</w:t>
      </w:r>
    </w:p>
    <w:p>
      <w:pPr>
        <w:pStyle w:val="Compact"/>
        <w:numPr>
          <w:ilvl w:val="0"/>
          <w:numId w:val="1016"/>
        </w:numPr>
      </w:pPr>
      <w:r>
        <w:t xml:space="preserve">Admin settings and access controls</w:t>
      </w:r>
    </w:p>
    <w:p>
      <w:pPr>
        <w:pStyle w:val="Compact"/>
        <w:numPr>
          <w:ilvl w:val="0"/>
          <w:numId w:val="1016"/>
        </w:numPr>
      </w:pPr>
      <w:r>
        <w:t xml:space="preserve">Documentation and operational guidance</w:t>
      </w:r>
    </w:p>
    <w:p>
      <w:pPr>
        <w:pStyle w:val="Compact"/>
        <w:numPr>
          <w:ilvl w:val="0"/>
          <w:numId w:val="1016"/>
        </w:numPr>
      </w:pPr>
      <w:r>
        <w:t xml:space="preserve">Deployment-ready environment placeholders</w:t>
      </w:r>
    </w:p>
    <w:p>
      <w:pPr>
        <w:pStyle w:val="Compact"/>
        <w:numPr>
          <w:ilvl w:val="0"/>
          <w:numId w:val="1016"/>
        </w:numPr>
      </w:pPr>
      <w:r>
        <w:t xml:space="preserve">Enterprise workflow pages for list -&gt; detail -&gt; PDF navigation journeys</w:t>
      </w:r>
    </w:p>
    <w:bookmarkEnd w:id="21"/>
    <w:bookmarkStart w:id="22" w:name="outcome"/>
    <w:p>
      <w:pPr>
        <w:pStyle w:val="Heading2"/>
      </w:pPr>
      <w:r>
        <w:t xml:space="preserve">14. Outcome</w:t>
      </w:r>
    </w:p>
    <w:p>
      <w:pPr>
        <w:pStyle w:val="FirstParagraph"/>
      </w:pPr>
      <w:r>
        <w:t xml:space="preserve">Amplus CRM will provide a structured, controlled, and scalable internal operations system that improves execution discipline, visibility, and decision-making across the full business journey from inquiry to project closure and billing.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2026-02-15T19:10:38Z</dcterms:created>
  <dcterms:modified xsi:type="dcterms:W3CDTF">2026-02-15T19:10:38Z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