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55E"/>
          <w:sz w:val="44"/>
        </w:rPr>
        <w:t>CUSTOMER CHURN DATA PREPROCESSING</w:t>
      </w:r>
    </w:p>
    <w:p>
      <w:pPr>
        <w:jc w:val="center"/>
      </w:pPr>
      <w:r>
        <w:rPr>
          <w:b/>
          <w:color w:val="1A355E"/>
          <w:sz w:val="40"/>
        </w:rPr>
        <w:t>&amp; EXPLORATORY DATA ANALYSIS</w:t>
      </w:r>
    </w:p>
    <w:p/>
    <w:p>
      <w:pPr>
        <w:jc w:val="center"/>
      </w:pPr>
      <w:r>
        <w:rPr>
          <w:i/>
          <w:color w:val="2B5C8F"/>
          <w:sz w:val="26"/>
        </w:rPr>
        <w:t>Python for Machine Learning &amp; Data Preprocessing</w:t>
      </w:r>
    </w:p>
    <w:p/>
    <w:tbl>
      <w:tblPr>
        <w:tblW w:type="auto" w:w="0"/>
        <w:jc w:val="center"/>
        <w:tblLook w:firstColumn="1" w:firstRow="1" w:lastColumn="0" w:lastRow="0" w:noHBand="0" w:noVBand="1" w:val="04A0"/>
      </w:tblPr>
      <w:tblGrid>
        <w:gridCol w:w="4680"/>
        <w:gridCol w:w="4680"/>
      </w:tblGrid>
      <w:tr>
        <w:tc>
          <w:tcPr>
            <w:tcW w:type="dxa" w:w="4680"/>
            <w:shd w:val="clear" w:color="auto" w:fill="1A355E"/>
          </w:tcPr>
          <w:p>
            <w:r>
              <w:rPr>
                <w:b/>
                <w:color w:val="FFFFFF"/>
                <w:sz w:val="18"/>
              </w:rPr>
              <w:t>Internship</w:t>
            </w:r>
          </w:p>
        </w:tc>
        <w:tc>
          <w:tcPr>
            <w:tcW w:type="dxa" w:w="4680"/>
            <w:shd w:val="clear" w:color="auto" w:fill="EEF3FA"/>
          </w:tcPr>
          <w:p>
            <w:r>
              <w:rPr>
                <w:color w:val="1C1C2E"/>
                <w:sz w:val="18"/>
              </w:rPr>
              <w:t>AI Pioneers Machine Learning Internship</w:t>
            </w:r>
          </w:p>
        </w:tc>
      </w:tr>
      <w:tr>
        <w:tc>
          <w:tcPr>
            <w:tcW w:type="dxa" w:w="4680"/>
            <w:shd w:val="clear" w:color="auto" w:fill="1A355E"/>
          </w:tcPr>
          <w:p>
            <w:r>
              <w:rPr>
                <w:b/>
                <w:color w:val="FFFFFF"/>
                <w:sz w:val="18"/>
              </w:rPr>
              <w:t>Task</w:t>
            </w:r>
          </w:p>
        </w:tc>
        <w:tc>
          <w:tcPr>
            <w:tcW w:type="dxa" w:w="4680"/>
            <w:shd w:val="clear" w:color="auto" w:fill="EEF3FA"/>
          </w:tcPr>
          <w:p>
            <w:r>
              <w:rPr>
                <w:color w:val="1C1C2E"/>
                <w:sz w:val="18"/>
              </w:rPr>
              <w:t>Week 1 — Python for Machine Learning &amp; Data Preprocessing</w:t>
            </w:r>
          </w:p>
        </w:tc>
      </w:tr>
      <w:tr>
        <w:tc>
          <w:tcPr>
            <w:tcW w:type="dxa" w:w="4680"/>
            <w:shd w:val="clear" w:color="auto" w:fill="1A355E"/>
          </w:tcPr>
          <w:p>
            <w:r>
              <w:rPr>
                <w:b/>
                <w:color w:val="FFFFFF"/>
                <w:sz w:val="18"/>
              </w:rPr>
              <w:t>Intern</w:t>
            </w:r>
          </w:p>
        </w:tc>
        <w:tc>
          <w:tcPr>
            <w:tcW w:type="dxa" w:w="4680"/>
            <w:shd w:val="clear" w:color="auto" w:fill="EEF3FA"/>
          </w:tcPr>
          <w:p>
            <w:r>
              <w:rPr>
                <w:color w:val="1C1C2E"/>
                <w:sz w:val="18"/>
              </w:rPr>
              <w:t>Shreyas</w:t>
            </w:r>
          </w:p>
        </w:tc>
      </w:tr>
      <w:tr>
        <w:tc>
          <w:tcPr>
            <w:tcW w:type="dxa" w:w="4680"/>
            <w:shd w:val="clear" w:color="auto" w:fill="1A355E"/>
          </w:tcPr>
          <w:p>
            <w:r>
              <w:rPr>
                <w:b/>
                <w:color w:val="FFFFFF"/>
                <w:sz w:val="18"/>
              </w:rPr>
              <w:t>Institution</w:t>
            </w:r>
          </w:p>
        </w:tc>
        <w:tc>
          <w:tcPr>
            <w:tcW w:type="dxa" w:w="4680"/>
            <w:shd w:val="clear" w:color="auto" w:fill="EEF3FA"/>
          </w:tcPr>
          <w:p>
            <w:r>
              <w:rPr>
                <w:color w:val="1C1C2E"/>
                <w:sz w:val="18"/>
              </w:rPr>
              <w:t>YuvaIntern</w:t>
            </w:r>
          </w:p>
        </w:tc>
      </w:tr>
      <w:tr>
        <w:tc>
          <w:tcPr>
            <w:tcW w:type="dxa" w:w="4680"/>
            <w:shd w:val="clear" w:color="auto" w:fill="1A355E"/>
          </w:tcPr>
          <w:p>
            <w:r>
              <w:rPr>
                <w:b/>
                <w:color w:val="FFFFFF"/>
                <w:sz w:val="18"/>
              </w:rPr>
              <w:t>GitHub Repository</w:t>
            </w:r>
          </w:p>
        </w:tc>
        <w:tc>
          <w:tcPr>
            <w:tcW w:type="dxa" w:w="4680"/>
            <w:shd w:val="clear" w:color="auto" w:fill="EEF3FA"/>
          </w:tcPr>
          <w:p>
            <w:r>
              <w:rPr>
                <w:color w:val="1C1C2E"/>
                <w:sz w:val="18"/>
              </w:rPr>
              <w:t>https://github.com/shreyas04100/ai2</w:t>
            </w:r>
          </w:p>
        </w:tc>
      </w:tr>
      <w:tr>
        <w:tc>
          <w:tcPr>
            <w:tcW w:type="dxa" w:w="4680"/>
            <w:shd w:val="clear" w:color="auto" w:fill="1A355E"/>
          </w:tcPr>
          <w:p>
            <w:r>
              <w:rPr>
                <w:b/>
                <w:color w:val="FFFFFF"/>
                <w:sz w:val="18"/>
              </w:rPr>
              <w:t>Language / Tools</w:t>
            </w:r>
          </w:p>
        </w:tc>
        <w:tc>
          <w:tcPr>
            <w:tcW w:type="dxa" w:w="4680"/>
            <w:shd w:val="clear" w:color="auto" w:fill="EEF3FA"/>
          </w:tcPr>
          <w:p>
            <w:r>
              <w:rPr>
                <w:color w:val="1C1C2E"/>
                <w:sz w:val="18"/>
              </w:rPr>
              <w:t>Python 3.x | Pandas | NumPy | scikit-learn | Matplotlib | Seaborn</w:t>
            </w:r>
          </w:p>
        </w:tc>
      </w:tr>
    </w:tbl>
    <w:p>
      <w:r>
        <w:br w:type="page"/>
      </w:r>
    </w:p>
    <w:p>
      <w:pPr>
        <w:pStyle w:val="Heading1"/>
        <w:jc w:val="left"/>
      </w:pPr>
      <w:r>
        <w:rPr>
          <w:color w:val="1A355E"/>
        </w:rPr>
        <w:t>1. Introduction</w:t>
      </w:r>
    </w:p>
    <w:p>
      <w:r>
        <w:rPr>
          <w:color w:val="1C1C2E"/>
          <w:sz w:val="20"/>
        </w:rPr>
        <w:t>This report documents the complete data preprocessing and exploratory data analysis (EDA) pipeline for a synthetic Customer Churn dataset, developed as part of the AI Pioneers Machine Learning Internship (Week 1 Task). The project demonstrates Python-based machine learning preprocessing fundamentals using industry-standard libraries.</w:t>
      </w:r>
    </w:p>
    <w:p/>
    <w:p>
      <w:r>
        <w:rPr>
          <w:color w:val="1C1C2E"/>
          <w:sz w:val="20"/>
        </w:rPr>
        <w:t>Customer churn — the rate at which customers stop doing business with an organisation — is a critical business metric. Accurate churn prediction models require clean, well-preprocessed data. This project illustrates every step of that preprocessing journey from raw, messy data to a structured dataset suitable as a preprocessed input for downstream machine learning tasks.</w:t>
      </w:r>
    </w:p>
    <w:p/>
    <w:p>
      <w:pPr>
        <w:pStyle w:val="Heading2"/>
        <w:jc w:val="left"/>
      </w:pPr>
      <w:r>
        <w:rPr>
          <w:color w:val="2B5C8F"/>
        </w:rPr>
        <w:t>1.1  Dataset Overview</w:t>
      </w:r>
    </w:p>
    <w:p>
      <w:r>
        <w:rPr>
          <w:color w:val="1C1C2E"/>
          <w:sz w:val="20"/>
        </w:rPr>
        <w:t>A synthetic customer churn dataset was generated using src/generate_dataset.py to simulate realistic Telco-style records. The dataset intentionally contains real-world data quality problems to demonstrate each preprocessing technique:</w:t>
      </w:r>
    </w:p>
    <w:p>
      <w:pPr>
        <w:pStyle w:val="ListBullet"/>
        <w:ind w:left="432"/>
      </w:pPr>
      <w:r>
        <w:rPr>
          <w:color w:val="1C1C2E"/>
          <w:sz w:val="20"/>
        </w:rPr>
        <w:t>Missing values — 93 explicit NaN values across 5 columns (Gender=24, SeniorCitizen=15, TenureMonths=18, PaymentMethod=16, MonthlyCharges=20)</w:t>
      </w:r>
    </w:p>
    <w:p>
      <w:pPr>
        <w:pStyle w:val="ListBullet"/>
        <w:ind w:left="432"/>
      </w:pPr>
      <w:r>
        <w:rPr>
          <w:color w:val="1C1C2E"/>
          <w:sz w:val="20"/>
        </w:rPr>
        <w:t>Blank strings — 25 TotalCharges cells stored as whitespace strings (simulating new customer records)</w:t>
      </w:r>
    </w:p>
    <w:p>
      <w:pPr>
        <w:pStyle w:val="ListBullet"/>
        <w:ind w:left="432"/>
      </w:pPr>
      <w:r>
        <w:rPr>
          <w:color w:val="1C1C2E"/>
          <w:sz w:val="20"/>
        </w:rPr>
        <w:t>Invalid values — MonthlyCharges=−150.0 and TenureMonths=−12.0 (physically impossible; converted to NaN)</w:t>
      </w:r>
    </w:p>
    <w:p>
      <w:pPr>
        <w:pStyle w:val="ListBullet"/>
        <w:ind w:left="432"/>
      </w:pPr>
      <w:r>
        <w:rPr>
          <w:color w:val="1C1C2E"/>
          <w:sz w:val="20"/>
        </w:rPr>
        <w:t>Total missing-like cells handled by imputation: 120 (93 NaN + 25 blank strings + 2 invalid negatives)</w:t>
      </w:r>
    </w:p>
    <w:p>
      <w:pPr>
        <w:pStyle w:val="ListBullet"/>
        <w:ind w:left="432"/>
      </w:pPr>
      <w:r>
        <w:rPr>
          <w:color w:val="1C1C2E"/>
          <w:sz w:val="20"/>
        </w:rPr>
        <w:t>Duplicate records — 10 exact duplicate rows injected</w:t>
      </w:r>
    </w:p>
    <w:p>
      <w:pPr>
        <w:pStyle w:val="ListBullet"/>
        <w:ind w:left="432"/>
      </w:pPr>
      <w:r>
        <w:rPr>
          <w:color w:val="1C1C2E"/>
          <w:sz w:val="20"/>
        </w:rPr>
        <w:t>Outliers — extreme MonthlyCharges (9,999.0 and 4,500.0) and TenureMonths (350 months)</w:t>
      </w:r>
    </w:p>
    <w:p>
      <w:pPr>
        <w:pStyle w:val="ListBullet"/>
        <w:ind w:left="432"/>
      </w:pPr>
      <w:r>
        <w:rPr>
          <w:color w:val="1C1C2E"/>
          <w:sz w:val="20"/>
        </w:rPr>
        <w:t>Type mismatches — TotalCharges stored as object (string) dtype instead of float64</w:t>
      </w:r>
    </w:p>
    <w:p>
      <w:pPr>
        <w:pStyle w:val="ListBullet"/>
        <w:ind w:left="432"/>
      </w:pPr>
      <w:r>
        <w:rPr>
          <w:color w:val="1C1C2E"/>
          <w:sz w:val="20"/>
        </w:rPr>
        <w:t>Categorical inconsistencies — Gender encoded as 'female', 'F', 'M', 'male'</w:t>
      </w:r>
    </w:p>
    <w:p>
      <w:pPr>
        <w:pStyle w:val="ListBullet"/>
        <w:ind w:left="432"/>
      </w:pPr>
      <w:r>
        <w:rPr>
          <w:color w:val="1C1C2E"/>
          <w:sz w:val="20"/>
        </w:rPr>
        <w:t>Redundant columns — RandomNoiseScore, SystemLogCode (no predictive value)</w:t>
      </w:r>
    </w:p>
    <w:p/>
    <w:p>
      <w:pPr>
        <w:pStyle w:val="Heading1"/>
        <w:jc w:val="left"/>
      </w:pPr>
      <w:r>
        <w:rPr>
          <w:color w:val="1A355E"/>
        </w:rPr>
        <w:t>2. Python Fundamentals for Machine Learning</w:t>
      </w:r>
    </w:p>
    <w:p>
      <w:r>
        <w:rPr>
          <w:color w:val="1C1C2E"/>
          <w:sz w:val="20"/>
        </w:rPr>
        <w:t>This project leverages core Python programming concepts relevant to data science and machine learning. The codebase is structured as a modular OOP pipeline using the ChurnDataPreprocessor class with stateful transformer management.</w:t>
      </w:r>
    </w:p>
    <w:p>
      <w:pPr>
        <w:pStyle w:val="Heading2"/>
        <w:jc w:val="left"/>
      </w:pPr>
      <w:r>
        <w:rPr>
          <w:color w:val="2B5C8F"/>
        </w:rPr>
        <w:t>2.1  Key Python Concepts Demonstrated</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1A355E"/>
          </w:tcPr>
          <w:p>
            <w:pPr>
              <w:jc w:val="center"/>
            </w:pPr>
            <w:r>
              <w:rPr>
                <w:b/>
                <w:color w:val="FFFFFF"/>
                <w:sz w:val="18"/>
              </w:rPr>
              <w:t>Concept</w:t>
            </w:r>
          </w:p>
        </w:tc>
        <w:tc>
          <w:tcPr>
            <w:tcW w:type="dxa" w:w="6624"/>
            <w:shd w:val="clear" w:color="auto" w:fill="1A355E"/>
          </w:tcPr>
          <w:p>
            <w:pPr>
              <w:jc w:val="center"/>
            </w:pPr>
            <w:r>
              <w:rPr>
                <w:b/>
                <w:color w:val="FFFFFF"/>
                <w:sz w:val="18"/>
              </w:rPr>
              <w:t>Demonstration</w:t>
            </w:r>
          </w:p>
        </w:tc>
      </w:tr>
      <w:tr>
        <w:tc>
          <w:tcPr>
            <w:tcW w:type="dxa" w:w="2592"/>
            <w:shd w:val="clear" w:color="auto" w:fill="EEF3FA"/>
          </w:tcPr>
          <w:p>
            <w:pPr>
              <w:jc w:val="center"/>
            </w:pPr>
            <w:r>
              <w:rPr>
                <w:sz w:val="18"/>
              </w:rPr>
              <w:t>NumPy</w:t>
            </w:r>
          </w:p>
        </w:tc>
        <w:tc>
          <w:tcPr>
            <w:tcW w:type="dxa" w:w="6624"/>
            <w:shd w:val="clear" w:color="auto" w:fill="EEF3FA"/>
          </w:tcPr>
          <w:p>
            <w:pPr>
              <w:jc w:val="center"/>
            </w:pPr>
            <w:r>
              <w:rPr>
                <w:sz w:val="18"/>
              </w:rPr>
              <w:t>Array operations, random seed control, numerical type conversion, vectorised np.clip()</w:t>
            </w:r>
          </w:p>
        </w:tc>
      </w:tr>
      <w:tr>
        <w:tc>
          <w:tcPr>
            <w:tcW w:type="dxa" w:w="2592"/>
            <w:shd w:val="clear" w:color="auto" w:fill="FFFFFF"/>
          </w:tcPr>
          <w:p>
            <w:pPr>
              <w:jc w:val="center"/>
            </w:pPr>
            <w:r>
              <w:rPr>
                <w:sz w:val="18"/>
              </w:rPr>
              <w:t>Pandas</w:t>
            </w:r>
          </w:p>
        </w:tc>
        <w:tc>
          <w:tcPr>
            <w:tcW w:type="dxa" w:w="6624"/>
            <w:shd w:val="clear" w:color="auto" w:fill="FFFFFF"/>
          </w:tcPr>
          <w:p>
            <w:pPr>
              <w:jc w:val="center"/>
            </w:pPr>
            <w:r>
              <w:rPr>
                <w:sz w:val="18"/>
              </w:rPr>
              <w:t>DataFrame I/O, dtype inspection, groupby/value_counts, get_dummies, fillna, apply</w:t>
            </w:r>
          </w:p>
        </w:tc>
      </w:tr>
      <w:tr>
        <w:tc>
          <w:tcPr>
            <w:tcW w:type="dxa" w:w="2592"/>
            <w:shd w:val="clear" w:color="auto" w:fill="EEF3FA"/>
          </w:tcPr>
          <w:p>
            <w:pPr>
              <w:jc w:val="center"/>
            </w:pPr>
            <w:r>
              <w:rPr>
                <w:sz w:val="18"/>
              </w:rPr>
              <w:t>OOP</w:t>
            </w:r>
          </w:p>
        </w:tc>
        <w:tc>
          <w:tcPr>
            <w:tcW w:type="dxa" w:w="6624"/>
            <w:shd w:val="clear" w:color="auto" w:fill="EEF3FA"/>
          </w:tcPr>
          <w:p>
            <w:pPr>
              <w:jc w:val="center"/>
            </w:pPr>
            <w:r>
              <w:rPr>
                <w:sz w:val="18"/>
              </w:rPr>
              <w:t>Class-based pipeline (ChurnDataPreprocessor) with stateful scalers and encoders</w:t>
            </w:r>
          </w:p>
        </w:tc>
      </w:tr>
      <w:tr>
        <w:tc>
          <w:tcPr>
            <w:tcW w:type="dxa" w:w="2592"/>
            <w:shd w:val="clear" w:color="auto" w:fill="FFFFFF"/>
          </w:tcPr>
          <w:p>
            <w:pPr>
              <w:jc w:val="center"/>
            </w:pPr>
            <w:r>
              <w:rPr>
                <w:sz w:val="18"/>
              </w:rPr>
              <w:t>Modular Code</w:t>
            </w:r>
          </w:p>
        </w:tc>
        <w:tc>
          <w:tcPr>
            <w:tcW w:type="dxa" w:w="6624"/>
            <w:shd w:val="clear" w:color="auto" w:fill="FFFFFF"/>
          </w:tcPr>
          <w:p>
            <w:pPr>
              <w:jc w:val="center"/>
            </w:pPr>
            <w:r>
              <w:rPr>
                <w:sz w:val="18"/>
              </w:rPr>
              <w:t>Separate modules: generate_dataset.py, data_preprocessing.py, eda.py, utils.py</w:t>
            </w:r>
          </w:p>
        </w:tc>
      </w:tr>
      <w:tr>
        <w:tc>
          <w:tcPr>
            <w:tcW w:type="dxa" w:w="2592"/>
            <w:shd w:val="clear" w:color="auto" w:fill="EEF3FA"/>
          </w:tcPr>
          <w:p>
            <w:pPr>
              <w:jc w:val="center"/>
            </w:pPr>
            <w:r>
              <w:rPr>
                <w:sz w:val="18"/>
              </w:rPr>
              <w:t>Error Handling</w:t>
            </w:r>
          </w:p>
        </w:tc>
        <w:tc>
          <w:tcPr>
            <w:tcW w:type="dxa" w:w="6624"/>
            <w:shd w:val="clear" w:color="auto" w:fill="EEF3FA"/>
          </w:tcPr>
          <w:p>
            <w:pPr>
              <w:jc w:val="center"/>
            </w:pPr>
            <w:r>
              <w:rPr>
                <w:sz w:val="18"/>
              </w:rPr>
              <w:t>FileNotFoundError, errors='coerce' for type-safe numeric conversions</w:t>
            </w:r>
          </w:p>
        </w:tc>
      </w:tr>
      <w:tr>
        <w:tc>
          <w:tcPr>
            <w:tcW w:type="dxa" w:w="2592"/>
            <w:shd w:val="clear" w:color="auto" w:fill="FFFFFF"/>
          </w:tcPr>
          <w:p>
            <w:pPr>
              <w:jc w:val="center"/>
            </w:pPr>
            <w:r>
              <w:rPr>
                <w:sz w:val="18"/>
              </w:rPr>
              <w:t>Type Annotations</w:t>
            </w:r>
          </w:p>
        </w:tc>
        <w:tc>
          <w:tcPr>
            <w:tcW w:type="dxa" w:w="6624"/>
            <w:shd w:val="clear" w:color="auto" w:fill="FFFFFF"/>
          </w:tcPr>
          <w:p>
            <w:pPr>
              <w:jc w:val="center"/>
            </w:pPr>
            <w:r>
              <w:rPr>
                <w:sz w:val="18"/>
              </w:rPr>
              <w:t>Python type hints (Tuple, List, Dict) throughout the pipeline</w:t>
            </w:r>
          </w:p>
        </w:tc>
      </w:tr>
      <w:tr>
        <w:tc>
          <w:tcPr>
            <w:tcW w:type="dxa" w:w="2592"/>
            <w:shd w:val="clear" w:color="auto" w:fill="EEF3FA"/>
          </w:tcPr>
          <w:p>
            <w:pPr>
              <w:jc w:val="center"/>
            </w:pPr>
            <w:r>
              <w:rPr>
                <w:sz w:val="18"/>
              </w:rPr>
              <w:t>Reproducibility</w:t>
            </w:r>
          </w:p>
        </w:tc>
        <w:tc>
          <w:tcPr>
            <w:tcW w:type="dxa" w:w="6624"/>
            <w:shd w:val="clear" w:color="auto" w:fill="EEF3FA"/>
          </w:tcPr>
          <w:p>
            <w:pPr>
              <w:jc w:val="center"/>
            </w:pPr>
            <w:r>
              <w:rPr>
                <w:sz w:val="18"/>
              </w:rPr>
              <w:t>np.random.seed(42) ensures deterministic dataset generation</w:t>
            </w:r>
          </w:p>
        </w:tc>
      </w:tr>
    </w:tbl>
    <w:p/>
    <w:p>
      <w:pPr>
        <w:pStyle w:val="Heading1"/>
        <w:jc w:val="left"/>
      </w:pPr>
      <w:r>
        <w:rPr>
          <w:color w:val="1A355E"/>
        </w:rPr>
        <w:t>3. Data Loading</w:t>
      </w:r>
    </w:p>
    <w:p>
      <w:r>
        <w:rPr>
          <w:color w:val="1C1C2E"/>
          <w:sz w:val="20"/>
        </w:rPr>
        <w:t>The raw dataset is loaded from a CSV file using pandas. Structural metadata is immediately inspected to understand schema, column types, and data shape before any transformation begins.</w:t>
      </w:r>
    </w:p>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A355E"/>
          </w:tcPr>
          <w:p>
            <w:pPr>
              <w:jc w:val="center"/>
            </w:pPr>
            <w:r>
              <w:rPr>
                <w:b/>
                <w:color w:val="FFFFFF"/>
                <w:sz w:val="18"/>
              </w:rPr>
              <w:t>Property</w:t>
            </w:r>
          </w:p>
        </w:tc>
        <w:tc>
          <w:tcPr>
            <w:tcW w:type="dxa" w:w="4896"/>
            <w:shd w:val="clear" w:color="auto" w:fill="1A355E"/>
          </w:tcPr>
          <w:p>
            <w:pPr>
              <w:jc w:val="center"/>
            </w:pPr>
            <w:r>
              <w:rPr>
                <w:b/>
                <w:color w:val="FFFFFF"/>
                <w:sz w:val="18"/>
              </w:rPr>
              <w:t>Value</w:t>
            </w:r>
          </w:p>
        </w:tc>
      </w:tr>
      <w:tr>
        <w:tc>
          <w:tcPr>
            <w:tcW w:type="dxa" w:w="4320"/>
            <w:shd w:val="clear" w:color="auto" w:fill="EEF3FA"/>
          </w:tcPr>
          <w:p>
            <w:pPr>
              <w:jc w:val="center"/>
            </w:pPr>
            <w:r>
              <w:rPr>
                <w:sz w:val="18"/>
              </w:rPr>
              <w:t>Total Rows</w:t>
            </w:r>
          </w:p>
        </w:tc>
        <w:tc>
          <w:tcPr>
            <w:tcW w:type="dxa" w:w="4896"/>
            <w:shd w:val="clear" w:color="auto" w:fill="EEF3FA"/>
          </w:tcPr>
          <w:p>
            <w:pPr>
              <w:jc w:val="center"/>
            </w:pPr>
            <w:r>
              <w:rPr>
                <w:sz w:val="18"/>
              </w:rPr>
              <w:t>1210</w:t>
            </w:r>
          </w:p>
        </w:tc>
      </w:tr>
      <w:tr>
        <w:tc>
          <w:tcPr>
            <w:tcW w:type="dxa" w:w="4320"/>
            <w:shd w:val="clear" w:color="auto" w:fill="FFFFFF"/>
          </w:tcPr>
          <w:p>
            <w:pPr>
              <w:jc w:val="center"/>
            </w:pPr>
            <w:r>
              <w:rPr>
                <w:sz w:val="18"/>
              </w:rPr>
              <w:t>Total Columns</w:t>
            </w:r>
          </w:p>
        </w:tc>
        <w:tc>
          <w:tcPr>
            <w:tcW w:type="dxa" w:w="4896"/>
            <w:shd w:val="clear" w:color="auto" w:fill="FFFFFF"/>
          </w:tcPr>
          <w:p>
            <w:pPr>
              <w:jc w:val="center"/>
            </w:pPr>
            <w:r>
              <w:rPr>
                <w:sz w:val="18"/>
              </w:rPr>
              <w:t>19</w:t>
            </w:r>
          </w:p>
        </w:tc>
      </w:tr>
      <w:tr>
        <w:tc>
          <w:tcPr>
            <w:tcW w:type="dxa" w:w="4320"/>
            <w:shd w:val="clear" w:color="auto" w:fill="EEF3FA"/>
          </w:tcPr>
          <w:p>
            <w:pPr>
              <w:jc w:val="center"/>
            </w:pPr>
            <w:r>
              <w:rPr>
                <w:sz w:val="18"/>
              </w:rPr>
              <w:t>Numeric Columns</w:t>
            </w:r>
          </w:p>
        </w:tc>
        <w:tc>
          <w:tcPr>
            <w:tcW w:type="dxa" w:w="4896"/>
            <w:shd w:val="clear" w:color="auto" w:fill="EEF3FA"/>
          </w:tcPr>
          <w:p>
            <w:pPr>
              <w:jc w:val="center"/>
            </w:pPr>
            <w:r>
              <w:rPr>
                <w:sz w:val="18"/>
              </w:rPr>
              <w:t>4 (float64)</w:t>
            </w:r>
          </w:p>
        </w:tc>
      </w:tr>
      <w:tr>
        <w:tc>
          <w:tcPr>
            <w:tcW w:type="dxa" w:w="4320"/>
            <w:shd w:val="clear" w:color="auto" w:fill="FFFFFF"/>
          </w:tcPr>
          <w:p>
            <w:pPr>
              <w:jc w:val="center"/>
            </w:pPr>
            <w:r>
              <w:rPr>
                <w:sz w:val="18"/>
              </w:rPr>
              <w:t>Object Columns — Total</w:t>
            </w:r>
          </w:p>
        </w:tc>
        <w:tc>
          <w:tcPr>
            <w:tcW w:type="dxa" w:w="4896"/>
            <w:shd w:val="clear" w:color="auto" w:fill="FFFFFF"/>
          </w:tcPr>
          <w:p>
            <w:pPr>
              <w:jc w:val="center"/>
            </w:pPr>
            <w:r>
              <w:rPr>
                <w:sz w:val="18"/>
              </w:rPr>
              <w:t>15</w:t>
            </w:r>
          </w:p>
        </w:tc>
      </w:tr>
      <w:tr>
        <w:tc>
          <w:tcPr>
            <w:tcW w:type="dxa" w:w="4320"/>
            <w:shd w:val="clear" w:color="auto" w:fill="EEF3FA"/>
          </w:tcPr>
          <w:p>
            <w:pPr>
              <w:jc w:val="center"/>
            </w:pPr>
            <w:r>
              <w:rPr>
                <w:sz w:val="18"/>
              </w:rPr>
              <w:t xml:space="preserve">  • Predictor categorical cols</w:t>
            </w:r>
          </w:p>
        </w:tc>
        <w:tc>
          <w:tcPr>
            <w:tcW w:type="dxa" w:w="4896"/>
            <w:shd w:val="clear" w:color="auto" w:fill="EEF3FA"/>
          </w:tcPr>
          <w:p>
            <w:pPr>
              <w:jc w:val="center"/>
            </w:pPr>
            <w:r>
              <w:rPr>
                <w:sz w:val="18"/>
              </w:rPr>
              <w:t>13 (excluding CustomerID and Churn)</w:t>
            </w:r>
          </w:p>
        </w:tc>
      </w:tr>
      <w:tr>
        <w:tc>
          <w:tcPr>
            <w:tcW w:type="dxa" w:w="4320"/>
            <w:shd w:val="clear" w:color="auto" w:fill="FFFFFF"/>
          </w:tcPr>
          <w:p>
            <w:pPr>
              <w:jc w:val="center"/>
            </w:pPr>
            <w:r>
              <w:rPr>
                <w:sz w:val="18"/>
              </w:rPr>
              <w:t xml:space="preserve">  • CustomerID (primary key)</w:t>
            </w:r>
          </w:p>
        </w:tc>
        <w:tc>
          <w:tcPr>
            <w:tcW w:type="dxa" w:w="4896"/>
            <w:shd w:val="clear" w:color="auto" w:fill="FFFFFF"/>
          </w:tcPr>
          <w:p>
            <w:pPr>
              <w:jc w:val="center"/>
            </w:pPr>
            <w:r>
              <w:rPr>
                <w:sz w:val="18"/>
              </w:rPr>
              <w:t>1 (dropped in feature selection)</w:t>
            </w:r>
          </w:p>
        </w:tc>
      </w:tr>
      <w:tr>
        <w:tc>
          <w:tcPr>
            <w:tcW w:type="dxa" w:w="4320"/>
            <w:shd w:val="clear" w:color="auto" w:fill="EEF3FA"/>
          </w:tcPr>
          <w:p>
            <w:pPr>
              <w:jc w:val="center"/>
            </w:pPr>
            <w:r>
              <w:rPr>
                <w:sz w:val="18"/>
              </w:rPr>
              <w:t xml:space="preserve">  • Churn (target variable)</w:t>
            </w:r>
          </w:p>
        </w:tc>
        <w:tc>
          <w:tcPr>
            <w:tcW w:type="dxa" w:w="4896"/>
            <w:shd w:val="clear" w:color="auto" w:fill="EEF3FA"/>
          </w:tcPr>
          <w:p>
            <w:pPr>
              <w:jc w:val="center"/>
            </w:pPr>
            <w:r>
              <w:rPr>
                <w:sz w:val="18"/>
              </w:rPr>
              <w:t>1 (encoded to 0/1 during encoding step)</w:t>
            </w:r>
          </w:p>
        </w:tc>
      </w:tr>
      <w:tr>
        <w:tc>
          <w:tcPr>
            <w:tcW w:type="dxa" w:w="4320"/>
            <w:shd w:val="clear" w:color="auto" w:fill="FFFFFF"/>
          </w:tcPr>
          <w:p>
            <w:pPr>
              <w:jc w:val="center"/>
            </w:pPr>
            <w:r>
              <w:rPr>
                <w:sz w:val="18"/>
              </w:rPr>
              <w:t>Explicit NaN (raw CSV)</w:t>
            </w:r>
          </w:p>
        </w:tc>
        <w:tc>
          <w:tcPr>
            <w:tcW w:type="dxa" w:w="4896"/>
            <w:shd w:val="clear" w:color="auto" w:fill="FFFFFF"/>
          </w:tcPr>
          <w:p>
            <w:pPr>
              <w:jc w:val="center"/>
            </w:pPr>
            <w:r>
              <w:rPr>
                <w:sz w:val="18"/>
              </w:rPr>
              <w:t>93</w:t>
            </w:r>
          </w:p>
        </w:tc>
      </w:tr>
      <w:tr>
        <w:tc>
          <w:tcPr>
            <w:tcW w:type="dxa" w:w="4320"/>
            <w:shd w:val="clear" w:color="auto" w:fill="EEF3FA"/>
          </w:tcPr>
          <w:p>
            <w:pPr>
              <w:jc w:val="center"/>
            </w:pPr>
            <w:r>
              <w:rPr>
                <w:sz w:val="18"/>
              </w:rPr>
              <w:t>Blank TotalCharges strings</w:t>
            </w:r>
          </w:p>
        </w:tc>
        <w:tc>
          <w:tcPr>
            <w:tcW w:type="dxa" w:w="4896"/>
            <w:shd w:val="clear" w:color="auto" w:fill="EEF3FA"/>
          </w:tcPr>
          <w:p>
            <w:pPr>
              <w:jc w:val="center"/>
            </w:pPr>
            <w:r>
              <w:rPr>
                <w:sz w:val="18"/>
              </w:rPr>
              <w:t>25</w:t>
            </w:r>
          </w:p>
        </w:tc>
      </w:tr>
      <w:tr>
        <w:tc>
          <w:tcPr>
            <w:tcW w:type="dxa" w:w="4320"/>
            <w:shd w:val="clear" w:color="auto" w:fill="FFFFFF"/>
          </w:tcPr>
          <w:p>
            <w:pPr>
              <w:jc w:val="center"/>
            </w:pPr>
            <w:r>
              <w:rPr>
                <w:sz w:val="18"/>
              </w:rPr>
              <w:t>Invalid negative values → NaN</w:t>
            </w:r>
          </w:p>
        </w:tc>
        <w:tc>
          <w:tcPr>
            <w:tcW w:type="dxa" w:w="4896"/>
            <w:shd w:val="clear" w:color="auto" w:fill="FFFFFF"/>
          </w:tcPr>
          <w:p>
            <w:pPr>
              <w:jc w:val="center"/>
            </w:pPr>
            <w:r>
              <w:rPr>
                <w:sz w:val="18"/>
              </w:rPr>
              <w:t>2</w:t>
            </w:r>
          </w:p>
        </w:tc>
      </w:tr>
      <w:tr>
        <w:tc>
          <w:tcPr>
            <w:tcW w:type="dxa" w:w="4320"/>
            <w:shd w:val="clear" w:color="auto" w:fill="EEF3FA"/>
          </w:tcPr>
          <w:p>
            <w:pPr>
              <w:jc w:val="center"/>
            </w:pPr>
            <w:r>
              <w:rPr>
                <w:sz w:val="18"/>
              </w:rPr>
              <w:t>Total cells handled by imputation</w:t>
            </w:r>
          </w:p>
        </w:tc>
        <w:tc>
          <w:tcPr>
            <w:tcW w:type="dxa" w:w="4896"/>
            <w:shd w:val="clear" w:color="auto" w:fill="EEF3FA"/>
          </w:tcPr>
          <w:p>
            <w:pPr>
              <w:jc w:val="center"/>
            </w:pPr>
            <w:r>
              <w:rPr>
                <w:sz w:val="18"/>
              </w:rPr>
              <w:t>120</w:t>
            </w:r>
          </w:p>
        </w:tc>
      </w:tr>
      <w:tr>
        <w:tc>
          <w:tcPr>
            <w:tcW w:type="dxa" w:w="4320"/>
            <w:shd w:val="clear" w:color="auto" w:fill="FFFFFF"/>
          </w:tcPr>
          <w:p>
            <w:pPr>
              <w:jc w:val="center"/>
            </w:pPr>
            <w:r>
              <w:rPr>
                <w:sz w:val="18"/>
              </w:rPr>
              <w:t>File Size (CSV)</w:t>
            </w:r>
          </w:p>
        </w:tc>
        <w:tc>
          <w:tcPr>
            <w:tcW w:type="dxa" w:w="4896"/>
            <w:shd w:val="clear" w:color="auto" w:fill="FFFFFF"/>
          </w:tcPr>
          <w:p>
            <w:pPr>
              <w:jc w:val="center"/>
            </w:pPr>
            <w:r>
              <w:rPr>
                <w:sz w:val="18"/>
              </w:rPr>
              <w:t>~156 KB</w:t>
            </w:r>
          </w:p>
        </w:tc>
      </w:tr>
      <w:tr>
        <w:tc>
          <w:tcPr>
            <w:tcW w:type="dxa" w:w="4320"/>
            <w:shd w:val="clear" w:color="auto" w:fill="EEF3FA"/>
          </w:tcPr>
          <w:p>
            <w:pPr>
              <w:jc w:val="center"/>
            </w:pPr>
            <w:r>
              <w:rPr>
                <w:sz w:val="18"/>
              </w:rPr>
              <w:t>Memory Usage (in-memory)</w:t>
            </w:r>
          </w:p>
        </w:tc>
        <w:tc>
          <w:tcPr>
            <w:tcW w:type="dxa" w:w="4896"/>
            <w:shd w:val="clear" w:color="auto" w:fill="EEF3FA"/>
          </w:tcPr>
          <w:p>
            <w:pPr>
              <w:jc w:val="center"/>
            </w:pPr>
            <w:r>
              <w:rPr>
                <w:sz w:val="18"/>
              </w:rPr>
              <w:t>~1.12 MB</w:t>
            </w:r>
          </w:p>
        </w:tc>
      </w:tr>
    </w:tbl>
    <w:p/>
    <w:p>
      <w:pPr>
        <w:pStyle w:val="Heading1"/>
        <w:jc w:val="left"/>
      </w:pPr>
      <w:r>
        <w:rPr>
          <w:color w:val="1A355E"/>
        </w:rPr>
        <w:t>4. Data Cleaning</w:t>
      </w:r>
    </w:p>
    <w:p>
      <w:pPr>
        <w:pStyle w:val="Heading2"/>
        <w:jc w:val="left"/>
      </w:pPr>
      <w:r>
        <w:rPr>
          <w:color w:val="2B5C8F"/>
        </w:rPr>
        <w:t>4.1  Missing Value Analysis</w:t>
      </w:r>
    </w:p>
    <w:p>
      <w:r>
        <w:rPr>
          <w:color w:val="1C1C2E"/>
          <w:sz w:val="20"/>
        </w:rPr>
        <w:t>The raw dataset contains a total of 120 missing or invalid cells that must be handled before modelling. These are categorised into three distinct types:</w:t>
      </w:r>
    </w:p>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A355E"/>
          </w:tcPr>
          <w:p>
            <w:pPr>
              <w:jc w:val="center"/>
            </w:pPr>
            <w:r>
              <w:rPr>
                <w:b/>
                <w:color w:val="FFFFFF"/>
                <w:sz w:val="18"/>
              </w:rPr>
              <w:t>Category</w:t>
            </w:r>
          </w:p>
        </w:tc>
        <w:tc>
          <w:tcPr>
            <w:tcW w:type="dxa" w:w="1008"/>
            <w:shd w:val="clear" w:color="auto" w:fill="1A355E"/>
          </w:tcPr>
          <w:p>
            <w:pPr>
              <w:jc w:val="center"/>
            </w:pPr>
            <w:r>
              <w:rPr>
                <w:b/>
                <w:color w:val="FFFFFF"/>
                <w:sz w:val="18"/>
              </w:rPr>
              <w:t>Count</w:t>
            </w:r>
          </w:p>
        </w:tc>
        <w:tc>
          <w:tcPr>
            <w:tcW w:type="dxa" w:w="5328"/>
            <w:shd w:val="clear" w:color="auto" w:fill="1A355E"/>
          </w:tcPr>
          <w:p>
            <w:pPr>
              <w:jc w:val="center"/>
            </w:pPr>
            <w:r>
              <w:rPr>
                <w:b/>
                <w:color w:val="FFFFFF"/>
                <w:sz w:val="18"/>
              </w:rPr>
              <w:t>Description</w:t>
            </w:r>
          </w:p>
        </w:tc>
      </w:tr>
      <w:tr>
        <w:tc>
          <w:tcPr>
            <w:tcW w:type="dxa" w:w="3600"/>
            <w:shd w:val="clear" w:color="auto" w:fill="EEF3FA"/>
          </w:tcPr>
          <w:p>
            <w:pPr>
              <w:jc w:val="center"/>
            </w:pPr>
            <w:r>
              <w:rPr>
                <w:sz w:val="18"/>
              </w:rPr>
              <w:t>A — Explicit NaN (CSV)</w:t>
            </w:r>
          </w:p>
        </w:tc>
        <w:tc>
          <w:tcPr>
            <w:tcW w:type="dxa" w:w="1008"/>
            <w:shd w:val="clear" w:color="auto" w:fill="EEF3FA"/>
          </w:tcPr>
          <w:p>
            <w:pPr>
              <w:jc w:val="center"/>
            </w:pPr>
            <w:r>
              <w:rPr>
                <w:sz w:val="18"/>
              </w:rPr>
              <w:t>93</w:t>
            </w:r>
          </w:p>
        </w:tc>
        <w:tc>
          <w:tcPr>
            <w:tcW w:type="dxa" w:w="5328"/>
            <w:shd w:val="clear" w:color="auto" w:fill="EEF3FA"/>
          </w:tcPr>
          <w:p>
            <w:pPr>
              <w:jc w:val="center"/>
            </w:pPr>
            <w:r>
              <w:rPr>
                <w:sz w:val="18"/>
              </w:rPr>
              <w:t>Values read as NaN directly from the CSV file across 5 columns</w:t>
            </w:r>
          </w:p>
        </w:tc>
      </w:tr>
      <w:tr>
        <w:tc>
          <w:tcPr>
            <w:tcW w:type="dxa" w:w="3600"/>
            <w:shd w:val="clear" w:color="auto" w:fill="FFFFFF"/>
          </w:tcPr>
          <w:p>
            <w:pPr>
              <w:jc w:val="center"/>
            </w:pPr>
            <w:r>
              <w:rPr>
                <w:sz w:val="18"/>
              </w:rPr>
              <w:t>B — Blank string TotalCharges</w:t>
            </w:r>
          </w:p>
        </w:tc>
        <w:tc>
          <w:tcPr>
            <w:tcW w:type="dxa" w:w="1008"/>
            <w:shd w:val="clear" w:color="auto" w:fill="FFFFFF"/>
          </w:tcPr>
          <w:p>
            <w:pPr>
              <w:jc w:val="center"/>
            </w:pPr>
            <w:r>
              <w:rPr>
                <w:sz w:val="18"/>
              </w:rPr>
              <w:t>25</w:t>
            </w:r>
          </w:p>
        </w:tc>
        <w:tc>
          <w:tcPr>
            <w:tcW w:type="dxa" w:w="5328"/>
            <w:shd w:val="clear" w:color="auto" w:fill="FFFFFF"/>
          </w:tcPr>
          <w:p>
            <w:pPr>
              <w:jc w:val="center"/>
            </w:pPr>
            <w:r>
              <w:rPr>
                <w:sz w:val="18"/>
              </w:rPr>
              <w:t>TotalCharges cells containing only whitespace (' '); coerced to NaN by pd.to_numeric()</w:t>
            </w:r>
          </w:p>
        </w:tc>
      </w:tr>
      <w:tr>
        <w:tc>
          <w:tcPr>
            <w:tcW w:type="dxa" w:w="3600"/>
            <w:shd w:val="clear" w:color="auto" w:fill="EEF3FA"/>
          </w:tcPr>
          <w:p>
            <w:pPr>
              <w:jc w:val="center"/>
            </w:pPr>
            <w:r>
              <w:rPr>
                <w:sz w:val="18"/>
              </w:rPr>
              <w:t>C — Invalid negatives → NaN</w:t>
            </w:r>
          </w:p>
        </w:tc>
        <w:tc>
          <w:tcPr>
            <w:tcW w:type="dxa" w:w="1008"/>
            <w:shd w:val="clear" w:color="auto" w:fill="EEF3FA"/>
          </w:tcPr>
          <w:p>
            <w:pPr>
              <w:jc w:val="center"/>
            </w:pPr>
            <w:r>
              <w:rPr>
                <w:sz w:val="18"/>
              </w:rPr>
              <w:t>2</w:t>
            </w:r>
          </w:p>
        </w:tc>
        <w:tc>
          <w:tcPr>
            <w:tcW w:type="dxa" w:w="5328"/>
            <w:shd w:val="clear" w:color="auto" w:fill="EEF3FA"/>
          </w:tcPr>
          <w:p>
            <w:pPr>
              <w:jc w:val="center"/>
            </w:pPr>
            <w:r>
              <w:rPr>
                <w:sz w:val="18"/>
              </w:rPr>
              <w:t>MonthlyCharges=−150.0 and TenureMonths=−12.0 set to NaN (physically impossible values)</w:t>
            </w:r>
          </w:p>
        </w:tc>
      </w:tr>
      <w:tr>
        <w:tc>
          <w:tcPr>
            <w:tcW w:type="dxa" w:w="3600"/>
            <w:shd w:val="clear" w:color="auto" w:fill="FFFFFF"/>
          </w:tcPr>
          <w:p>
            <w:pPr>
              <w:jc w:val="center"/>
            </w:pPr>
            <w:r>
              <w:rPr>
                <w:sz w:val="18"/>
              </w:rPr>
              <w:t>TOTAL handled by imputation</w:t>
            </w:r>
          </w:p>
        </w:tc>
        <w:tc>
          <w:tcPr>
            <w:tcW w:type="dxa" w:w="1008"/>
            <w:shd w:val="clear" w:color="auto" w:fill="FFFFFF"/>
          </w:tcPr>
          <w:p>
            <w:pPr>
              <w:jc w:val="center"/>
            </w:pPr>
            <w:r>
              <w:rPr>
                <w:sz w:val="18"/>
              </w:rPr>
              <w:t>120</w:t>
            </w:r>
          </w:p>
        </w:tc>
        <w:tc>
          <w:tcPr>
            <w:tcW w:type="dxa" w:w="5328"/>
            <w:shd w:val="clear" w:color="auto" w:fill="FFFFFF"/>
          </w:tcPr>
          <w:p>
            <w:pPr>
              <w:jc w:val="center"/>
            </w:pPr>
            <w:r>
              <w:rPr>
                <w:sz w:val="18"/>
              </w:rPr>
              <w:t>93 + 25 + 2 = 120</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A355E"/>
          </w:tcPr>
          <w:p>
            <w:pPr>
              <w:jc w:val="center"/>
            </w:pPr>
            <w:r>
              <w:rPr>
                <w:b/>
                <w:color w:val="FFFFFF"/>
                <w:sz w:val="18"/>
              </w:rPr>
              <w:t>Column</w:t>
            </w:r>
          </w:p>
        </w:tc>
        <w:tc>
          <w:tcPr>
            <w:tcW w:type="dxa" w:w="1440"/>
            <w:shd w:val="clear" w:color="auto" w:fill="1A355E"/>
          </w:tcPr>
          <w:p>
            <w:pPr>
              <w:jc w:val="center"/>
            </w:pPr>
            <w:r>
              <w:rPr>
                <w:b/>
                <w:color w:val="FFFFFF"/>
                <w:sz w:val="18"/>
              </w:rPr>
              <w:t>Type A NaN</w:t>
            </w:r>
          </w:p>
        </w:tc>
        <w:tc>
          <w:tcPr>
            <w:tcW w:type="dxa" w:w="2880"/>
            <w:shd w:val="clear" w:color="auto" w:fill="1A355E"/>
          </w:tcPr>
          <w:p>
            <w:pPr>
              <w:jc w:val="center"/>
            </w:pPr>
            <w:r>
              <w:rPr>
                <w:b/>
                <w:color w:val="FFFFFF"/>
                <w:sz w:val="18"/>
              </w:rPr>
              <w:t>Type B/C Additional NaN</w:t>
            </w:r>
          </w:p>
        </w:tc>
        <w:tc>
          <w:tcPr>
            <w:tcW w:type="dxa" w:w="3888"/>
            <w:shd w:val="clear" w:color="auto" w:fill="1A355E"/>
          </w:tcPr>
          <w:p>
            <w:pPr>
              <w:jc w:val="center"/>
            </w:pPr>
            <w:r>
              <w:rPr>
                <w:b/>
                <w:color w:val="FFFFFF"/>
                <w:sz w:val="18"/>
              </w:rPr>
              <w:t>Imputation Strategy</w:t>
            </w:r>
          </w:p>
        </w:tc>
      </w:tr>
      <w:tr>
        <w:tc>
          <w:tcPr>
            <w:tcW w:type="dxa" w:w="2448"/>
            <w:shd w:val="clear" w:color="auto" w:fill="EEF3FA"/>
          </w:tcPr>
          <w:p>
            <w:pPr>
              <w:jc w:val="center"/>
            </w:pPr>
            <w:r>
              <w:rPr>
                <w:sz w:val="18"/>
              </w:rPr>
              <w:t>Gender</w:t>
            </w:r>
          </w:p>
        </w:tc>
        <w:tc>
          <w:tcPr>
            <w:tcW w:type="dxa" w:w="1440"/>
            <w:shd w:val="clear" w:color="auto" w:fill="EEF3FA"/>
          </w:tcPr>
          <w:p>
            <w:pPr>
              <w:jc w:val="center"/>
            </w:pPr>
            <w:r>
              <w:rPr>
                <w:sz w:val="18"/>
              </w:rPr>
              <w:t>24</w:t>
            </w:r>
          </w:p>
        </w:tc>
        <w:tc>
          <w:tcPr>
            <w:tcW w:type="dxa" w:w="2880"/>
            <w:shd w:val="clear" w:color="auto" w:fill="EEF3FA"/>
          </w:tcPr>
          <w:p>
            <w:pPr>
              <w:jc w:val="center"/>
            </w:pPr>
            <w:r>
              <w:rPr>
                <w:sz w:val="18"/>
              </w:rPr>
              <w:t>0</w:t>
            </w:r>
          </w:p>
        </w:tc>
        <w:tc>
          <w:tcPr>
            <w:tcW w:type="dxa" w:w="3888"/>
            <w:shd w:val="clear" w:color="auto" w:fill="EEF3FA"/>
          </w:tcPr>
          <w:p>
            <w:pPr>
              <w:jc w:val="center"/>
            </w:pPr>
            <w:r>
              <w:rPr>
                <w:sz w:val="18"/>
              </w:rPr>
              <w:t>Mode → most frequent category</w:t>
            </w:r>
          </w:p>
        </w:tc>
      </w:tr>
      <w:tr>
        <w:tc>
          <w:tcPr>
            <w:tcW w:type="dxa" w:w="2448"/>
            <w:shd w:val="clear" w:color="auto" w:fill="FFFFFF"/>
          </w:tcPr>
          <w:p>
            <w:pPr>
              <w:jc w:val="center"/>
            </w:pPr>
            <w:r>
              <w:rPr>
                <w:sz w:val="18"/>
              </w:rPr>
              <w:t>SeniorCitizen</w:t>
            </w:r>
          </w:p>
        </w:tc>
        <w:tc>
          <w:tcPr>
            <w:tcW w:type="dxa" w:w="1440"/>
            <w:shd w:val="clear" w:color="auto" w:fill="FFFFFF"/>
          </w:tcPr>
          <w:p>
            <w:pPr>
              <w:jc w:val="center"/>
            </w:pPr>
            <w:r>
              <w:rPr>
                <w:sz w:val="18"/>
              </w:rPr>
              <w:t>15</w:t>
            </w:r>
          </w:p>
        </w:tc>
        <w:tc>
          <w:tcPr>
            <w:tcW w:type="dxa" w:w="2880"/>
            <w:shd w:val="clear" w:color="auto" w:fill="FFFFFF"/>
          </w:tcPr>
          <w:p>
            <w:pPr>
              <w:jc w:val="center"/>
            </w:pPr>
            <w:r>
              <w:rPr>
                <w:sz w:val="18"/>
              </w:rPr>
              <w:t>0</w:t>
            </w:r>
          </w:p>
        </w:tc>
        <w:tc>
          <w:tcPr>
            <w:tcW w:type="dxa" w:w="3888"/>
            <w:shd w:val="clear" w:color="auto" w:fill="FFFFFF"/>
          </w:tcPr>
          <w:p>
            <w:pPr>
              <w:jc w:val="center"/>
            </w:pPr>
            <w:r>
              <w:rPr>
                <w:sz w:val="18"/>
              </w:rPr>
              <w:t>Median → central tendency of binary 0/1</w:t>
            </w:r>
          </w:p>
        </w:tc>
      </w:tr>
      <w:tr>
        <w:tc>
          <w:tcPr>
            <w:tcW w:type="dxa" w:w="2448"/>
            <w:shd w:val="clear" w:color="auto" w:fill="EEF3FA"/>
          </w:tcPr>
          <w:p>
            <w:pPr>
              <w:jc w:val="center"/>
            </w:pPr>
            <w:r>
              <w:rPr>
                <w:sz w:val="18"/>
              </w:rPr>
              <w:t>TenureMonths</w:t>
            </w:r>
          </w:p>
        </w:tc>
        <w:tc>
          <w:tcPr>
            <w:tcW w:type="dxa" w:w="1440"/>
            <w:shd w:val="clear" w:color="auto" w:fill="EEF3FA"/>
          </w:tcPr>
          <w:p>
            <w:pPr>
              <w:jc w:val="center"/>
            </w:pPr>
            <w:r>
              <w:rPr>
                <w:sz w:val="18"/>
              </w:rPr>
              <w:t>18</w:t>
            </w:r>
          </w:p>
        </w:tc>
        <w:tc>
          <w:tcPr>
            <w:tcW w:type="dxa" w:w="2880"/>
            <w:shd w:val="clear" w:color="auto" w:fill="EEF3FA"/>
          </w:tcPr>
          <w:p>
            <w:pPr>
              <w:jc w:val="center"/>
            </w:pPr>
            <w:r>
              <w:rPr>
                <w:sz w:val="18"/>
              </w:rPr>
              <w:t>+1 (negative → NaN)</w:t>
            </w:r>
          </w:p>
        </w:tc>
        <w:tc>
          <w:tcPr>
            <w:tcW w:type="dxa" w:w="3888"/>
            <w:shd w:val="clear" w:color="auto" w:fill="EEF3FA"/>
          </w:tcPr>
          <w:p>
            <w:pPr>
              <w:jc w:val="center"/>
            </w:pPr>
            <w:r>
              <w:rPr>
                <w:sz w:val="18"/>
              </w:rPr>
              <w:t>Median → robust against skewed values</w:t>
            </w:r>
          </w:p>
        </w:tc>
      </w:tr>
      <w:tr>
        <w:tc>
          <w:tcPr>
            <w:tcW w:type="dxa" w:w="2448"/>
            <w:shd w:val="clear" w:color="auto" w:fill="FFFFFF"/>
          </w:tcPr>
          <w:p>
            <w:pPr>
              <w:jc w:val="center"/>
            </w:pPr>
            <w:r>
              <w:rPr>
                <w:sz w:val="18"/>
              </w:rPr>
              <w:t>PaymentMethod</w:t>
            </w:r>
          </w:p>
        </w:tc>
        <w:tc>
          <w:tcPr>
            <w:tcW w:type="dxa" w:w="1440"/>
            <w:shd w:val="clear" w:color="auto" w:fill="FFFFFF"/>
          </w:tcPr>
          <w:p>
            <w:pPr>
              <w:jc w:val="center"/>
            </w:pPr>
            <w:r>
              <w:rPr>
                <w:sz w:val="18"/>
              </w:rPr>
              <w:t>16</w:t>
            </w:r>
          </w:p>
        </w:tc>
        <w:tc>
          <w:tcPr>
            <w:tcW w:type="dxa" w:w="2880"/>
            <w:shd w:val="clear" w:color="auto" w:fill="FFFFFF"/>
          </w:tcPr>
          <w:p>
            <w:pPr>
              <w:jc w:val="center"/>
            </w:pPr>
            <w:r>
              <w:rPr>
                <w:sz w:val="18"/>
              </w:rPr>
              <w:t>0</w:t>
            </w:r>
          </w:p>
        </w:tc>
        <w:tc>
          <w:tcPr>
            <w:tcW w:type="dxa" w:w="3888"/>
            <w:shd w:val="clear" w:color="auto" w:fill="FFFFFF"/>
          </w:tcPr>
          <w:p>
            <w:pPr>
              <w:jc w:val="center"/>
            </w:pPr>
            <w:r>
              <w:rPr>
                <w:sz w:val="18"/>
              </w:rPr>
              <w:t>Mode → most frequent category</w:t>
            </w:r>
          </w:p>
        </w:tc>
      </w:tr>
      <w:tr>
        <w:tc>
          <w:tcPr>
            <w:tcW w:type="dxa" w:w="2448"/>
            <w:shd w:val="clear" w:color="auto" w:fill="EEF3FA"/>
          </w:tcPr>
          <w:p>
            <w:pPr>
              <w:jc w:val="center"/>
            </w:pPr>
            <w:r>
              <w:rPr>
                <w:sz w:val="18"/>
              </w:rPr>
              <w:t>MonthlyCharges</w:t>
            </w:r>
          </w:p>
        </w:tc>
        <w:tc>
          <w:tcPr>
            <w:tcW w:type="dxa" w:w="1440"/>
            <w:shd w:val="clear" w:color="auto" w:fill="EEF3FA"/>
          </w:tcPr>
          <w:p>
            <w:pPr>
              <w:jc w:val="center"/>
            </w:pPr>
            <w:r>
              <w:rPr>
                <w:sz w:val="18"/>
              </w:rPr>
              <w:t>20</w:t>
            </w:r>
          </w:p>
        </w:tc>
        <w:tc>
          <w:tcPr>
            <w:tcW w:type="dxa" w:w="2880"/>
            <w:shd w:val="clear" w:color="auto" w:fill="EEF3FA"/>
          </w:tcPr>
          <w:p>
            <w:pPr>
              <w:jc w:val="center"/>
            </w:pPr>
            <w:r>
              <w:rPr>
                <w:sz w:val="18"/>
              </w:rPr>
              <w:t>+1 (negative → NaN)</w:t>
            </w:r>
          </w:p>
        </w:tc>
        <w:tc>
          <w:tcPr>
            <w:tcW w:type="dxa" w:w="3888"/>
            <w:shd w:val="clear" w:color="auto" w:fill="EEF3FA"/>
          </w:tcPr>
          <w:p>
            <w:pPr>
              <w:jc w:val="center"/>
            </w:pPr>
            <w:r>
              <w:rPr>
                <w:sz w:val="18"/>
              </w:rPr>
              <w:t>Median → robust against outliers</w:t>
            </w:r>
          </w:p>
        </w:tc>
      </w:tr>
      <w:tr>
        <w:tc>
          <w:tcPr>
            <w:tcW w:type="dxa" w:w="2448"/>
            <w:shd w:val="clear" w:color="auto" w:fill="FFFFFF"/>
          </w:tcPr>
          <w:p>
            <w:pPr>
              <w:jc w:val="center"/>
            </w:pPr>
            <w:r>
              <w:rPr>
                <w:sz w:val="18"/>
              </w:rPr>
              <w:t>TotalCharges</w:t>
            </w:r>
          </w:p>
        </w:tc>
        <w:tc>
          <w:tcPr>
            <w:tcW w:type="dxa" w:w="1440"/>
            <w:shd w:val="clear" w:color="auto" w:fill="FFFFFF"/>
          </w:tcPr>
          <w:p>
            <w:pPr>
              <w:jc w:val="center"/>
            </w:pPr>
            <w:r>
              <w:rPr>
                <w:sz w:val="18"/>
              </w:rPr>
              <w:t>0</w:t>
            </w:r>
          </w:p>
        </w:tc>
        <w:tc>
          <w:tcPr>
            <w:tcW w:type="dxa" w:w="2880"/>
            <w:shd w:val="clear" w:color="auto" w:fill="FFFFFF"/>
          </w:tcPr>
          <w:p>
            <w:pPr>
              <w:jc w:val="center"/>
            </w:pPr>
            <w:r>
              <w:rPr>
                <w:sz w:val="18"/>
              </w:rPr>
              <w:t>+25 (blank strings → NaN)</w:t>
            </w:r>
          </w:p>
        </w:tc>
        <w:tc>
          <w:tcPr>
            <w:tcW w:type="dxa" w:w="3888"/>
            <w:shd w:val="clear" w:color="auto" w:fill="FFFFFF"/>
          </w:tcPr>
          <w:p>
            <w:pPr>
              <w:jc w:val="center"/>
            </w:pPr>
            <w:r>
              <w:rPr>
                <w:sz w:val="18"/>
              </w:rPr>
              <w:t>Median → after float64 conversion</w:t>
            </w:r>
          </w:p>
        </w:tc>
      </w:tr>
      <w:tr>
        <w:tc>
          <w:tcPr>
            <w:tcW w:type="dxa" w:w="2448"/>
            <w:shd w:val="clear" w:color="auto" w:fill="EEF3FA"/>
          </w:tcPr>
          <w:p>
            <w:pPr>
              <w:jc w:val="center"/>
            </w:pPr>
            <w:r>
              <w:rPr>
                <w:sz w:val="18"/>
              </w:rPr>
              <w:t>TOTAL</w:t>
            </w:r>
          </w:p>
        </w:tc>
        <w:tc>
          <w:tcPr>
            <w:tcW w:type="dxa" w:w="1440"/>
            <w:shd w:val="clear" w:color="auto" w:fill="EEF3FA"/>
          </w:tcPr>
          <w:p>
            <w:pPr>
              <w:jc w:val="center"/>
            </w:pPr>
            <w:r>
              <w:rPr>
                <w:sz w:val="18"/>
              </w:rPr>
              <w:t>93</w:t>
            </w:r>
          </w:p>
        </w:tc>
        <w:tc>
          <w:tcPr>
            <w:tcW w:type="dxa" w:w="2880"/>
            <w:shd w:val="clear" w:color="auto" w:fill="EEF3FA"/>
          </w:tcPr>
          <w:p>
            <w:pPr>
              <w:jc w:val="center"/>
            </w:pPr>
            <w:r>
              <w:rPr>
                <w:sz w:val="18"/>
              </w:rPr>
              <w:t>+27</w:t>
            </w:r>
          </w:p>
        </w:tc>
        <w:tc>
          <w:tcPr>
            <w:tcW w:type="dxa" w:w="3888"/>
            <w:shd w:val="clear" w:color="auto" w:fill="EEF3FA"/>
          </w:tcPr>
          <w:p>
            <w:pPr>
              <w:jc w:val="center"/>
            </w:pPr>
            <w:r>
              <w:rPr>
                <w:sz w:val="18"/>
              </w:rPr>
              <w:t>All 120 handled</w:t>
            </w:r>
          </w:p>
        </w:tc>
      </w:tr>
    </w:tbl>
    <w:p/>
    <w:p>
      <w:r>
        <w:rPr>
          <w:color w:val="1C1C2E"/>
          <w:sz w:val="20"/>
        </w:rPr>
        <w:t>Strategy rationale: Median imputation is preferred over mean for numerical columns because median is resistant to the extreme outlier values (9,999.0, 4,500.0, 350) still present in MonthlyCharges and TenureMonths at the time of imputation. Mode imputation is used for categorical columns (Gender, PaymentMethod) to assign the most probable category.</w:t>
      </w:r>
    </w:p>
    <w:p>
      <w:pPr>
        <w:pStyle w:val="Heading2"/>
        <w:jc w:val="left"/>
      </w:pPr>
      <w:r>
        <w:rPr>
          <w:color w:val="2B5C8F"/>
        </w:rPr>
        <w:t>4.2  Duplicate Row Removal</w:t>
      </w:r>
    </w:p>
    <w:p>
      <w:r>
        <w:rPr>
          <w:color w:val="1C1C2E"/>
          <w:sz w:val="20"/>
        </w:rPr>
        <w:t>The raw dataset contains 10 duplicate rows injected during dataset generation. Deduplication is performed by checking for duplicate CustomerID values (keep='first'). After removal: 1210 rows → 1200 rows (1200 unique records).</w:t>
      </w:r>
    </w:p>
    <w:p/>
    <w:p>
      <w:pPr>
        <w:pStyle w:val="Heading2"/>
        <w:jc w:val="left"/>
      </w:pPr>
      <w:r>
        <w:rPr>
          <w:color w:val="2B5C8F"/>
        </w:rPr>
        <w:t>4.3  Categorical Standardisation</w:t>
      </w:r>
    </w:p>
    <w:p>
      <w:r>
        <w:rPr>
          <w:color w:val="1C1C2E"/>
          <w:sz w:val="20"/>
        </w:rPr>
        <w:t>Gender values contain case inconsistencies and abbreviations ('female', 'F', 'male', 'M'). A dictionary mapping normalises all variants to canonical 'Male' / 'Female' before encoding. TotalCharges blank strings are stripped and pd.to_numeric(errors='coerce') converts them to NaN, enabling subsequent median imputation and float64 type conversion.</w:t>
      </w:r>
    </w:p>
    <w:p/>
    <w:p>
      <w:pPr>
        <w:pStyle w:val="Heading1"/>
        <w:jc w:val="left"/>
      </w:pPr>
      <w:r>
        <w:rPr>
          <w:color w:val="1A355E"/>
        </w:rPr>
        <w:t>5. Outlier Detection and Treatment</w:t>
      </w:r>
    </w:p>
    <w:p>
      <w:r>
        <w:rPr>
          <w:color w:val="1C1C2E"/>
          <w:sz w:val="20"/>
        </w:rPr>
        <w:t>The pipeline handles abnormal numerical values in two distinct stages that must not be confused:</w:t>
      </w:r>
    </w:p>
    <w:p/>
    <w:p>
      <w:r>
        <w:rPr>
          <w:b/>
          <w:color w:val="2B5C8F"/>
          <w:sz w:val="20"/>
        </w:rPr>
        <w:t>Stage A — Invalid Value Correction (clean_initial_formatting)</w:t>
      </w:r>
    </w:p>
    <w:p>
      <w:pPr>
        <w:ind w:left="432"/>
      </w:pPr>
      <w:r>
        <w:rPr>
          <w:color w:val="1C1C2E"/>
          <w:sz w:val="20"/>
        </w:rPr>
        <w:t>Physically impossible values are detected and set to NaN before any IQR analysis. These are NOT outlier-capped — they are treated as data entry errors and subsequently handled by median imputation:</w:t>
      </w:r>
    </w:p>
    <w:p>
      <w:pPr>
        <w:pStyle w:val="ListBullet"/>
        <w:ind w:left="720"/>
      </w:pPr>
      <w:r>
        <w:rPr>
          <w:color w:val="1C1C2E"/>
          <w:sz w:val="20"/>
        </w:rPr>
        <w:t>MonthlyCharges = −150.0  →  set to NaN  →  imputed with column median</w:t>
      </w:r>
    </w:p>
    <w:p>
      <w:pPr>
        <w:pStyle w:val="ListBullet"/>
        <w:ind w:left="720"/>
      </w:pPr>
      <w:r>
        <w:rPr>
          <w:color w:val="1C1C2E"/>
          <w:sz w:val="20"/>
        </w:rPr>
        <w:t>TenureMonths   = −12.0   →  set to NaN  →  imputed with column median</w:t>
      </w:r>
    </w:p>
    <w:p/>
    <w:p>
      <w:r>
        <w:rPr>
          <w:b/>
          <w:color w:val="2B5C8F"/>
          <w:sz w:val="20"/>
        </w:rPr>
        <w:t>Stage B — IQR-Based Outlier Capping (detect_and_cap_outliers)</w:t>
      </w:r>
    </w:p>
    <w:p>
      <w:pPr>
        <w:ind w:left="432"/>
      </w:pPr>
      <w:r>
        <w:rPr>
          <w:color w:val="1C1C2E"/>
          <w:sz w:val="20"/>
        </w:rPr>
        <w:t>After formatting and imputation, extreme but potentially real values are detected using the 1.5×IQR boundary rule and capped (Winsorised) to the boundary. This preserves all records while eliminating distorting extremes.</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A355E"/>
          </w:tcPr>
          <w:p>
            <w:pPr>
              <w:jc w:val="center"/>
            </w:pPr>
            <w:r>
              <w:rPr>
                <w:b/>
                <w:color w:val="FFFFFF"/>
                <w:sz w:val="18"/>
              </w:rPr>
              <w:t>Column</w:t>
            </w:r>
          </w:p>
        </w:tc>
        <w:tc>
          <w:tcPr>
            <w:tcW w:type="dxa" w:w="1440"/>
            <w:shd w:val="clear" w:color="auto" w:fill="1A355E"/>
          </w:tcPr>
          <w:p>
            <w:pPr>
              <w:jc w:val="center"/>
            </w:pPr>
            <w:r>
              <w:rPr>
                <w:b/>
                <w:color w:val="FFFFFF"/>
                <w:sz w:val="18"/>
              </w:rPr>
              <w:t>IQR Lower</w:t>
            </w:r>
          </w:p>
        </w:tc>
        <w:tc>
          <w:tcPr>
            <w:tcW w:type="dxa" w:w="1440"/>
            <w:shd w:val="clear" w:color="auto" w:fill="1A355E"/>
          </w:tcPr>
          <w:p>
            <w:pPr>
              <w:jc w:val="center"/>
            </w:pPr>
            <w:r>
              <w:rPr>
                <w:b/>
                <w:color w:val="FFFFFF"/>
                <w:sz w:val="18"/>
              </w:rPr>
              <w:t>IQR Upper</w:t>
            </w:r>
          </w:p>
        </w:tc>
        <w:tc>
          <w:tcPr>
            <w:tcW w:type="dxa" w:w="4032"/>
            <w:shd w:val="clear" w:color="auto" w:fill="1A355E"/>
          </w:tcPr>
          <w:p>
            <w:pPr>
              <w:jc w:val="center"/>
            </w:pPr>
            <w:r>
              <w:rPr>
                <w:b/>
                <w:color w:val="FFFFFF"/>
                <w:sz w:val="18"/>
              </w:rPr>
              <w:t>Values Capped</w:t>
            </w:r>
          </w:p>
        </w:tc>
        <w:tc>
          <w:tcPr>
            <w:tcW w:type="dxa" w:w="1296"/>
            <w:shd w:val="clear" w:color="auto" w:fill="1A355E"/>
          </w:tcPr>
          <w:p>
            <w:pPr>
              <w:jc w:val="center"/>
            </w:pPr>
            <w:r>
              <w:rPr>
                <w:b/>
                <w:color w:val="FFFFFF"/>
                <w:sz w:val="18"/>
              </w:rPr>
              <w:t>Cap Count</w:t>
            </w:r>
          </w:p>
        </w:tc>
      </w:tr>
      <w:tr>
        <w:tc>
          <w:tcPr>
            <w:tcW w:type="dxa" w:w="2160"/>
            <w:shd w:val="clear" w:color="auto" w:fill="EEF3FA"/>
          </w:tcPr>
          <w:p>
            <w:pPr>
              <w:jc w:val="center"/>
            </w:pPr>
            <w:r>
              <w:rPr>
                <w:sz w:val="18"/>
              </w:rPr>
              <w:t>MonthlyCharges</w:t>
            </w:r>
          </w:p>
        </w:tc>
        <w:tc>
          <w:tcPr>
            <w:tcW w:type="dxa" w:w="1440"/>
            <w:shd w:val="clear" w:color="auto" w:fill="EEF3FA"/>
          </w:tcPr>
          <w:p>
            <w:pPr>
              <w:jc w:val="center"/>
            </w:pPr>
            <w:r>
              <w:rPr>
                <w:sz w:val="18"/>
              </w:rPr>
              <w:t>$5.57</w:t>
            </w:r>
          </w:p>
        </w:tc>
        <w:tc>
          <w:tcPr>
            <w:tcW w:type="dxa" w:w="1440"/>
            <w:shd w:val="clear" w:color="auto" w:fill="EEF3FA"/>
          </w:tcPr>
          <w:p>
            <w:pPr>
              <w:jc w:val="center"/>
            </w:pPr>
            <w:r>
              <w:rPr>
                <w:sz w:val="18"/>
              </w:rPr>
              <w:t>$147.12</w:t>
            </w:r>
          </w:p>
        </w:tc>
        <w:tc>
          <w:tcPr>
            <w:tcW w:type="dxa" w:w="4032"/>
            <w:shd w:val="clear" w:color="auto" w:fill="EEF3FA"/>
          </w:tcPr>
          <w:p>
            <w:pPr>
              <w:jc w:val="center"/>
            </w:pPr>
            <w:r>
              <w:rPr>
                <w:sz w:val="18"/>
              </w:rPr>
              <w:t>9,999.0 → $147.12;  4,500.0 → $147.12</w:t>
            </w:r>
          </w:p>
        </w:tc>
        <w:tc>
          <w:tcPr>
            <w:tcW w:type="dxa" w:w="1296"/>
            <w:shd w:val="clear" w:color="auto" w:fill="EEF3FA"/>
          </w:tcPr>
          <w:p>
            <w:pPr>
              <w:jc w:val="center"/>
            </w:pPr>
            <w:r>
              <w:rPr>
                <w:sz w:val="18"/>
              </w:rPr>
              <w:t>2</w:t>
            </w:r>
          </w:p>
        </w:tc>
      </w:tr>
      <w:tr>
        <w:tc>
          <w:tcPr>
            <w:tcW w:type="dxa" w:w="2160"/>
            <w:shd w:val="clear" w:color="auto" w:fill="FFFFFF"/>
          </w:tcPr>
          <w:p>
            <w:pPr>
              <w:jc w:val="center"/>
            </w:pPr>
            <w:r>
              <w:rPr>
                <w:sz w:val="18"/>
              </w:rPr>
              <w:t>TenureMonths</w:t>
            </w:r>
          </w:p>
        </w:tc>
        <w:tc>
          <w:tcPr>
            <w:tcW w:type="dxa" w:w="1440"/>
            <w:shd w:val="clear" w:color="auto" w:fill="FFFFFF"/>
          </w:tcPr>
          <w:p>
            <w:pPr>
              <w:jc w:val="center"/>
            </w:pPr>
            <w:r>
              <w:rPr>
                <w:sz w:val="18"/>
              </w:rPr>
              <w:t>-33.5m</w:t>
            </w:r>
          </w:p>
        </w:tc>
        <w:tc>
          <w:tcPr>
            <w:tcW w:type="dxa" w:w="1440"/>
            <w:shd w:val="clear" w:color="auto" w:fill="FFFFFF"/>
          </w:tcPr>
          <w:p>
            <w:pPr>
              <w:jc w:val="center"/>
            </w:pPr>
            <w:r>
              <w:rPr>
                <w:sz w:val="18"/>
              </w:rPr>
              <w:t>106.5m</w:t>
            </w:r>
          </w:p>
        </w:tc>
        <w:tc>
          <w:tcPr>
            <w:tcW w:type="dxa" w:w="4032"/>
            <w:shd w:val="clear" w:color="auto" w:fill="FFFFFF"/>
          </w:tcPr>
          <w:p>
            <w:pPr>
              <w:jc w:val="center"/>
            </w:pPr>
            <w:r>
              <w:rPr>
                <w:sz w:val="18"/>
              </w:rPr>
              <w:t>350 months → 106.50 months</w:t>
            </w:r>
          </w:p>
        </w:tc>
        <w:tc>
          <w:tcPr>
            <w:tcW w:type="dxa" w:w="1296"/>
            <w:shd w:val="clear" w:color="auto" w:fill="FFFFFF"/>
          </w:tcPr>
          <w:p>
            <w:pPr>
              <w:jc w:val="center"/>
            </w:pPr>
            <w:r>
              <w:rPr>
                <w:sz w:val="18"/>
              </w:rPr>
              <w:t>1</w:t>
            </w:r>
          </w:p>
        </w:tc>
      </w:tr>
      <w:tr>
        <w:tc>
          <w:tcPr>
            <w:tcW w:type="dxa" w:w="2160"/>
            <w:shd w:val="clear" w:color="auto" w:fill="EEF3FA"/>
          </w:tcPr>
          <w:p>
            <w:pPr>
              <w:jc w:val="center"/>
            </w:pPr>
            <w:r>
              <w:rPr>
                <w:sz w:val="18"/>
              </w:rPr>
              <w:t>TotalCharges</w:t>
            </w:r>
          </w:p>
        </w:tc>
        <w:tc>
          <w:tcPr>
            <w:tcW w:type="dxa" w:w="1440"/>
            <w:shd w:val="clear" w:color="auto" w:fill="EEF3FA"/>
          </w:tcPr>
          <w:p>
            <w:pPr>
              <w:jc w:val="center"/>
            </w:pPr>
            <w:r>
              <w:rPr>
                <w:sz w:val="18"/>
              </w:rPr>
              <w:t>$-3,174</w:t>
            </w:r>
          </w:p>
        </w:tc>
        <w:tc>
          <w:tcPr>
            <w:tcW w:type="dxa" w:w="1440"/>
            <w:shd w:val="clear" w:color="auto" w:fill="EEF3FA"/>
          </w:tcPr>
          <w:p>
            <w:pPr>
              <w:jc w:val="center"/>
            </w:pPr>
            <w:r>
              <w:rPr>
                <w:sz w:val="18"/>
              </w:rPr>
              <w:t>$8,264</w:t>
            </w:r>
          </w:p>
        </w:tc>
        <w:tc>
          <w:tcPr>
            <w:tcW w:type="dxa" w:w="4032"/>
            <w:shd w:val="clear" w:color="auto" w:fill="EEF3FA"/>
          </w:tcPr>
          <w:p>
            <w:pPr>
              <w:jc w:val="center"/>
            </w:pPr>
            <w:r>
              <w:rPr>
                <w:sz w:val="18"/>
              </w:rPr>
              <w:t>No values exceeded IQR bounds</w:t>
            </w:r>
          </w:p>
        </w:tc>
        <w:tc>
          <w:tcPr>
            <w:tcW w:type="dxa" w:w="1296"/>
            <w:shd w:val="clear" w:color="auto" w:fill="EEF3FA"/>
          </w:tcPr>
          <w:p>
            <w:pPr>
              <w:jc w:val="center"/>
            </w:pPr>
            <w:r>
              <w:rPr>
                <w:sz w:val="18"/>
              </w:rPr>
              <w:t>0</w:t>
            </w:r>
          </w:p>
        </w:tc>
      </w:tr>
      <w:tr>
        <w:tc>
          <w:tcPr>
            <w:tcW w:type="dxa" w:w="2160"/>
            <w:shd w:val="clear" w:color="auto" w:fill="FFFFFF"/>
          </w:tcPr>
          <w:p>
            <w:pPr>
              <w:jc w:val="center"/>
            </w:pPr>
            <w:r>
              <w:rPr>
                <w:sz w:val="18"/>
              </w:rPr>
              <w:t>TOTAL</w:t>
            </w:r>
          </w:p>
        </w:tc>
        <w:tc>
          <w:tcPr>
            <w:tcW w:type="dxa" w:w="1440"/>
            <w:shd w:val="clear" w:color="auto" w:fill="FFFFFF"/>
          </w:tcPr>
          <w:p>
            <w:pPr>
              <w:jc w:val="center"/>
            </w:pPr>
            <w:r>
              <w:rPr>
                <w:sz w:val="18"/>
              </w:rPr>
              <w:t>—</w:t>
            </w:r>
          </w:p>
        </w:tc>
        <w:tc>
          <w:tcPr>
            <w:tcW w:type="dxa" w:w="1440"/>
            <w:shd w:val="clear" w:color="auto" w:fill="FFFFFF"/>
          </w:tcPr>
          <w:p>
            <w:pPr>
              <w:jc w:val="center"/>
            </w:pPr>
            <w:r>
              <w:rPr>
                <w:sz w:val="18"/>
              </w:rPr>
              <w:t>—</w:t>
            </w:r>
          </w:p>
        </w:tc>
        <w:tc>
          <w:tcPr>
            <w:tcW w:type="dxa" w:w="4032"/>
            <w:shd w:val="clear" w:color="auto" w:fill="FFFFFF"/>
          </w:tcPr>
          <w:p>
            <w:pPr>
              <w:jc w:val="center"/>
            </w:pPr>
            <w:r>
              <w:rPr>
                <w:sz w:val="18"/>
              </w:rPr>
              <w:t>—</w:t>
            </w:r>
          </w:p>
        </w:tc>
        <w:tc>
          <w:tcPr>
            <w:tcW w:type="dxa" w:w="1296"/>
            <w:shd w:val="clear" w:color="auto" w:fill="FFFFFF"/>
          </w:tcPr>
          <w:p>
            <w:pPr>
              <w:jc w:val="center"/>
            </w:pPr>
            <w:r>
              <w:rPr>
                <w:sz w:val="18"/>
              </w:rPr>
              <w:t>3</w:t>
            </w:r>
          </w:p>
        </w:tc>
      </w:tr>
    </w:tbl>
    <w:p/>
    <w:p>
      <w:r>
        <w:rPr>
          <w:color w:val="1C1C2E"/>
          <w:sz w:val="20"/>
        </w:rPr>
        <w:t>Summary: 2 invalid negative values were corrected to NaN and subsequently imputed (Stage A). 3 extreme-but-real values were IQR-capped (Stage B). In total, 5 anomalous numerical values were addressed across the two stages.</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outliers_before_after.png"/>
                    <pic:cNvPicPr/>
                  </pic:nvPicPr>
                  <pic:blipFill>
                    <a:blip r:embed="rId9"/>
                    <a:stretch>
                      <a:fillRect/>
                    </a:stretch>
                  </pic:blipFill>
                  <pic:spPr>
                    <a:xfrm>
                      <a:off x="0" y="0"/>
                      <a:ext cx="5303520" cy="3535680"/>
                    </a:xfrm>
                    <a:prstGeom prst="rect"/>
                  </pic:spPr>
                </pic:pic>
              </a:graphicData>
            </a:graphic>
          </wp:inline>
        </w:drawing>
      </w:r>
    </w:p>
    <w:p>
      <w:pPr>
        <w:jc w:val="center"/>
      </w:pPr>
      <w:r>
        <w:rPr>
          <w:i/>
          <w:color w:val="555555"/>
          <w:sz w:val="18"/>
        </w:rPr>
        <w:t>Figure 2. Box plots comparing MonthlyCharges and TenureMonths before and after preprocessing. Left panels show raw data with extreme outliers; right panels show values after IQR-based capping and StandardScaler normalisation. 3 values were IQR-capped; 2 negative values were removed and imputed.</w:t>
      </w:r>
    </w:p>
    <w:p/>
    <w:p>
      <w:pPr>
        <w:pStyle w:val="Heading1"/>
        <w:jc w:val="left"/>
      </w:pPr>
      <w:r>
        <w:rPr>
          <w:color w:val="1A355E"/>
        </w:rPr>
        <w:t>6. Feature Selection</w:t>
      </w:r>
    </w:p>
    <w:p>
      <w:r>
        <w:rPr>
          <w:color w:val="1C1C2E"/>
          <w:sz w:val="20"/>
        </w:rPr>
        <w:t>Non-informative and redundant features are removed before modelling. Feature selection reduces dimensionality, prevents overfitting, and improves model interpretability.</w:t>
      </w:r>
    </w:p>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A355E"/>
          </w:tcPr>
          <w:p>
            <w:pPr>
              <w:jc w:val="center"/>
            </w:pPr>
            <w:r>
              <w:rPr>
                <w:b/>
                <w:color w:val="FFFFFF"/>
                <w:sz w:val="18"/>
              </w:rPr>
              <w:t>Column Dropped</w:t>
            </w:r>
          </w:p>
        </w:tc>
        <w:tc>
          <w:tcPr>
            <w:tcW w:type="dxa" w:w="6336"/>
            <w:shd w:val="clear" w:color="auto" w:fill="1A355E"/>
          </w:tcPr>
          <w:p>
            <w:pPr>
              <w:jc w:val="center"/>
            </w:pPr>
            <w:r>
              <w:rPr>
                <w:b/>
                <w:color w:val="FFFFFF"/>
                <w:sz w:val="18"/>
              </w:rPr>
              <w:t>Reason</w:t>
            </w:r>
          </w:p>
        </w:tc>
      </w:tr>
      <w:tr>
        <w:tc>
          <w:tcPr>
            <w:tcW w:type="dxa" w:w="2880"/>
            <w:shd w:val="clear" w:color="auto" w:fill="EEF3FA"/>
          </w:tcPr>
          <w:p>
            <w:pPr>
              <w:jc w:val="center"/>
            </w:pPr>
            <w:r>
              <w:rPr>
                <w:sz w:val="18"/>
              </w:rPr>
              <w:t>CustomerID</w:t>
            </w:r>
          </w:p>
        </w:tc>
        <w:tc>
          <w:tcPr>
            <w:tcW w:type="dxa" w:w="6336"/>
            <w:shd w:val="clear" w:color="auto" w:fill="EEF3FA"/>
          </w:tcPr>
          <w:p>
            <w:pPr>
              <w:jc w:val="center"/>
            </w:pPr>
            <w:r>
              <w:rPr>
                <w:sz w:val="18"/>
              </w:rPr>
              <w:t>Primary key — unique identifier with no predictive signal</w:t>
            </w:r>
          </w:p>
        </w:tc>
      </w:tr>
      <w:tr>
        <w:tc>
          <w:tcPr>
            <w:tcW w:type="dxa" w:w="2880"/>
            <w:shd w:val="clear" w:color="auto" w:fill="FFFFFF"/>
          </w:tcPr>
          <w:p>
            <w:pPr>
              <w:jc w:val="center"/>
            </w:pPr>
            <w:r>
              <w:rPr>
                <w:sz w:val="18"/>
              </w:rPr>
              <w:t>SystemLogCode</w:t>
            </w:r>
          </w:p>
        </w:tc>
        <w:tc>
          <w:tcPr>
            <w:tcW w:type="dxa" w:w="6336"/>
            <w:shd w:val="clear" w:color="auto" w:fill="FFFFFF"/>
          </w:tcPr>
          <w:p>
            <w:pPr>
              <w:jc w:val="center"/>
            </w:pPr>
            <w:r>
              <w:rPr>
                <w:sz w:val="18"/>
              </w:rPr>
              <w:t>Arbitrary internal system code — no business or predictive meaning</w:t>
            </w:r>
          </w:p>
        </w:tc>
      </w:tr>
      <w:tr>
        <w:tc>
          <w:tcPr>
            <w:tcW w:type="dxa" w:w="2880"/>
            <w:shd w:val="clear" w:color="auto" w:fill="EEF3FA"/>
          </w:tcPr>
          <w:p>
            <w:pPr>
              <w:jc w:val="center"/>
            </w:pPr>
            <w:r>
              <w:rPr>
                <w:sz w:val="18"/>
              </w:rPr>
              <w:t>RandomNoiseScore</w:t>
            </w:r>
          </w:p>
        </w:tc>
        <w:tc>
          <w:tcPr>
            <w:tcW w:type="dxa" w:w="6336"/>
            <w:shd w:val="clear" w:color="auto" w:fill="EEF3FA"/>
          </w:tcPr>
          <w:p>
            <w:pPr>
              <w:jc w:val="center"/>
            </w:pPr>
            <w:r>
              <w:rPr>
                <w:sz w:val="18"/>
              </w:rPr>
              <w:t>Explicitly random feature — injected to demonstrate noise removal</w:t>
            </w:r>
          </w:p>
        </w:tc>
      </w:tr>
    </w:tbl>
    <w:p/>
    <w:p>
      <w:r>
        <w:rPr>
          <w:color w:val="1C1C2E"/>
          <w:sz w:val="20"/>
        </w:rPr>
        <w:t>After feature selection: 19 columns → 16 columns remain for modelling.</w:t>
      </w:r>
    </w:p>
    <w:p/>
    <w:p>
      <w:pPr>
        <w:pStyle w:val="Heading1"/>
        <w:jc w:val="left"/>
      </w:pPr>
      <w:r>
        <w:rPr>
          <w:color w:val="1A355E"/>
        </w:rPr>
        <w:t>7. Categorical Variable Encoding</w:t>
      </w:r>
    </w:p>
    <w:p>
      <w:r>
        <w:rPr>
          <w:color w:val="1C1C2E"/>
          <w:sz w:val="20"/>
        </w:rPr>
        <w:t>Machine learning algorithms require numerical inputs. Categorical columns are encoded using two strategies depending on cardinality:</w:t>
      </w:r>
    </w:p>
    <w:p/>
    <w:p>
      <w:pPr>
        <w:pStyle w:val="Heading2"/>
        <w:jc w:val="left"/>
      </w:pPr>
      <w:r>
        <w:rPr>
          <w:color w:val="2B5C8F"/>
        </w:rPr>
        <w:t>7.1  Binary Label Encoding (0/1)</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A355E"/>
          </w:tcPr>
          <w:p>
            <w:pPr>
              <w:jc w:val="center"/>
            </w:pPr>
            <w:r>
              <w:rPr>
                <w:b/>
                <w:color w:val="FFFFFF"/>
                <w:sz w:val="18"/>
              </w:rPr>
              <w:t>Column</w:t>
            </w:r>
          </w:p>
        </w:tc>
        <w:tc>
          <w:tcPr>
            <w:tcW w:type="dxa" w:w="6336"/>
            <w:shd w:val="clear" w:color="auto" w:fill="1A355E"/>
          </w:tcPr>
          <w:p>
            <w:pPr>
              <w:jc w:val="center"/>
            </w:pPr>
            <w:r>
              <w:rPr>
                <w:b/>
                <w:color w:val="FFFFFF"/>
                <w:sz w:val="18"/>
              </w:rPr>
              <w:t>Encoding</w:t>
            </w:r>
          </w:p>
        </w:tc>
      </w:tr>
      <w:tr>
        <w:tc>
          <w:tcPr>
            <w:tcW w:type="dxa" w:w="2880"/>
            <w:shd w:val="clear" w:color="auto" w:fill="EEF3FA"/>
          </w:tcPr>
          <w:p>
            <w:pPr>
              <w:jc w:val="center"/>
            </w:pPr>
            <w:r>
              <w:rPr>
                <w:sz w:val="18"/>
              </w:rPr>
              <w:t>Gender</w:t>
            </w:r>
          </w:p>
        </w:tc>
        <w:tc>
          <w:tcPr>
            <w:tcW w:type="dxa" w:w="6336"/>
            <w:shd w:val="clear" w:color="auto" w:fill="EEF3FA"/>
          </w:tcPr>
          <w:p>
            <w:pPr>
              <w:jc w:val="center"/>
            </w:pPr>
            <w:r>
              <w:rPr>
                <w:sz w:val="18"/>
              </w:rPr>
              <w:t>Female → 0, Male → 1</w:t>
            </w:r>
          </w:p>
        </w:tc>
      </w:tr>
      <w:tr>
        <w:tc>
          <w:tcPr>
            <w:tcW w:type="dxa" w:w="2880"/>
            <w:shd w:val="clear" w:color="auto" w:fill="FFFFFF"/>
          </w:tcPr>
          <w:p>
            <w:pPr>
              <w:jc w:val="center"/>
            </w:pPr>
            <w:r>
              <w:rPr>
                <w:sz w:val="18"/>
              </w:rPr>
              <w:t>SeniorCitizen</w:t>
            </w:r>
          </w:p>
        </w:tc>
        <w:tc>
          <w:tcPr>
            <w:tcW w:type="dxa" w:w="6336"/>
            <w:shd w:val="clear" w:color="auto" w:fill="FFFFFF"/>
          </w:tcPr>
          <w:p>
            <w:pPr>
              <w:jc w:val="center"/>
            </w:pPr>
            <w:r>
              <w:rPr>
                <w:sz w:val="18"/>
              </w:rPr>
              <w:t>0 → 0, 1 → 1 (already binary integer)</w:t>
            </w:r>
          </w:p>
        </w:tc>
      </w:tr>
      <w:tr>
        <w:tc>
          <w:tcPr>
            <w:tcW w:type="dxa" w:w="2880"/>
            <w:shd w:val="clear" w:color="auto" w:fill="EEF3FA"/>
          </w:tcPr>
          <w:p>
            <w:pPr>
              <w:jc w:val="center"/>
            </w:pPr>
            <w:r>
              <w:rPr>
                <w:sz w:val="18"/>
              </w:rPr>
              <w:t>Partner</w:t>
            </w:r>
          </w:p>
        </w:tc>
        <w:tc>
          <w:tcPr>
            <w:tcW w:type="dxa" w:w="6336"/>
            <w:shd w:val="clear" w:color="auto" w:fill="EEF3FA"/>
          </w:tcPr>
          <w:p>
            <w:pPr>
              <w:jc w:val="center"/>
            </w:pPr>
            <w:r>
              <w:rPr>
                <w:sz w:val="18"/>
              </w:rPr>
              <w:t>No → 0, Yes → 1</w:t>
            </w:r>
          </w:p>
        </w:tc>
      </w:tr>
      <w:tr>
        <w:tc>
          <w:tcPr>
            <w:tcW w:type="dxa" w:w="2880"/>
            <w:shd w:val="clear" w:color="auto" w:fill="FFFFFF"/>
          </w:tcPr>
          <w:p>
            <w:pPr>
              <w:jc w:val="center"/>
            </w:pPr>
            <w:r>
              <w:rPr>
                <w:sz w:val="18"/>
              </w:rPr>
              <w:t>Dependents</w:t>
            </w:r>
          </w:p>
        </w:tc>
        <w:tc>
          <w:tcPr>
            <w:tcW w:type="dxa" w:w="6336"/>
            <w:shd w:val="clear" w:color="auto" w:fill="FFFFFF"/>
          </w:tcPr>
          <w:p>
            <w:pPr>
              <w:jc w:val="center"/>
            </w:pPr>
            <w:r>
              <w:rPr>
                <w:sz w:val="18"/>
              </w:rPr>
              <w:t>No → 0, Yes → 1</w:t>
            </w:r>
          </w:p>
        </w:tc>
      </w:tr>
      <w:tr>
        <w:tc>
          <w:tcPr>
            <w:tcW w:type="dxa" w:w="2880"/>
            <w:shd w:val="clear" w:color="auto" w:fill="EEF3FA"/>
          </w:tcPr>
          <w:p>
            <w:pPr>
              <w:jc w:val="center"/>
            </w:pPr>
            <w:r>
              <w:rPr>
                <w:sz w:val="18"/>
              </w:rPr>
              <w:t>PhoneService</w:t>
            </w:r>
          </w:p>
        </w:tc>
        <w:tc>
          <w:tcPr>
            <w:tcW w:type="dxa" w:w="6336"/>
            <w:shd w:val="clear" w:color="auto" w:fill="EEF3FA"/>
          </w:tcPr>
          <w:p>
            <w:pPr>
              <w:jc w:val="center"/>
            </w:pPr>
            <w:r>
              <w:rPr>
                <w:sz w:val="18"/>
              </w:rPr>
              <w:t>No → 0, Yes → 1</w:t>
            </w:r>
          </w:p>
        </w:tc>
      </w:tr>
      <w:tr>
        <w:tc>
          <w:tcPr>
            <w:tcW w:type="dxa" w:w="2880"/>
            <w:shd w:val="clear" w:color="auto" w:fill="FFFFFF"/>
          </w:tcPr>
          <w:p>
            <w:pPr>
              <w:jc w:val="center"/>
            </w:pPr>
            <w:r>
              <w:rPr>
                <w:sz w:val="18"/>
              </w:rPr>
              <w:t>PaperlessBilling</w:t>
            </w:r>
          </w:p>
        </w:tc>
        <w:tc>
          <w:tcPr>
            <w:tcW w:type="dxa" w:w="6336"/>
            <w:shd w:val="clear" w:color="auto" w:fill="FFFFFF"/>
          </w:tcPr>
          <w:p>
            <w:pPr>
              <w:jc w:val="center"/>
            </w:pPr>
            <w:r>
              <w:rPr>
                <w:sz w:val="18"/>
              </w:rPr>
              <w:t>No → 0, Yes → 1</w:t>
            </w:r>
          </w:p>
        </w:tc>
      </w:tr>
      <w:tr>
        <w:tc>
          <w:tcPr>
            <w:tcW w:type="dxa" w:w="2880"/>
            <w:shd w:val="clear" w:color="auto" w:fill="EEF3FA"/>
          </w:tcPr>
          <w:p>
            <w:pPr>
              <w:jc w:val="center"/>
            </w:pPr>
            <w:r>
              <w:rPr>
                <w:sz w:val="18"/>
              </w:rPr>
              <w:t>Churn (target)</w:t>
            </w:r>
          </w:p>
        </w:tc>
        <w:tc>
          <w:tcPr>
            <w:tcW w:type="dxa" w:w="6336"/>
            <w:shd w:val="clear" w:color="auto" w:fill="EEF3FA"/>
          </w:tcPr>
          <w:p>
            <w:pPr>
              <w:jc w:val="center"/>
            </w:pPr>
            <w:r>
              <w:rPr>
                <w:sz w:val="18"/>
              </w:rPr>
              <w:t>No → 0, Yes → 1</w:t>
            </w:r>
          </w:p>
        </w:tc>
      </w:tr>
    </w:tbl>
    <w:p/>
    <w:p>
      <w:pPr>
        <w:pStyle w:val="Heading2"/>
        <w:jc w:val="left"/>
      </w:pPr>
      <w:r>
        <w:rPr>
          <w:color w:val="2B5C8F"/>
        </w:rPr>
        <w:t>7.2  One-Hot Encoding</w:t>
      </w:r>
    </w:p>
    <w:p>
      <w:r>
        <w:rPr>
          <w:color w:val="1C1C2E"/>
          <w:sz w:val="20"/>
        </w:rPr>
        <w:t>Multi-category nominal columns are expanded using pd.get_dummies(drop_first=True) to avoid multicollinearity (dummy variable trap):</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A355E"/>
          </w:tcPr>
          <w:p>
            <w:pPr>
              <w:jc w:val="center"/>
            </w:pPr>
            <w:r>
              <w:rPr>
                <w:b/>
                <w:color w:val="FFFFFF"/>
                <w:sz w:val="18"/>
              </w:rPr>
              <w:t>Column</w:t>
            </w:r>
          </w:p>
        </w:tc>
        <w:tc>
          <w:tcPr>
            <w:tcW w:type="dxa" w:w="4032"/>
            <w:shd w:val="clear" w:color="auto" w:fill="1A355E"/>
          </w:tcPr>
          <w:p>
            <w:pPr>
              <w:jc w:val="center"/>
            </w:pPr>
            <w:r>
              <w:rPr>
                <w:b/>
                <w:color w:val="FFFFFF"/>
                <w:sz w:val="18"/>
              </w:rPr>
              <w:t>Categories</w:t>
            </w:r>
          </w:p>
        </w:tc>
        <w:tc>
          <w:tcPr>
            <w:tcW w:type="dxa" w:w="2880"/>
            <w:shd w:val="clear" w:color="auto" w:fill="1A355E"/>
          </w:tcPr>
          <w:p>
            <w:pPr>
              <w:jc w:val="center"/>
            </w:pPr>
            <w:r>
              <w:rPr>
                <w:b/>
                <w:color w:val="FFFFFF"/>
                <w:sz w:val="18"/>
              </w:rPr>
              <w:t>New Indicator Columns</w:t>
            </w:r>
          </w:p>
        </w:tc>
      </w:tr>
      <w:tr>
        <w:tc>
          <w:tcPr>
            <w:tcW w:type="dxa" w:w="2304"/>
            <w:shd w:val="clear" w:color="auto" w:fill="EEF3FA"/>
          </w:tcPr>
          <w:p>
            <w:pPr>
              <w:jc w:val="center"/>
            </w:pPr>
            <w:r>
              <w:rPr>
                <w:sz w:val="18"/>
              </w:rPr>
              <w:t>MultipleLines</w:t>
            </w:r>
          </w:p>
        </w:tc>
        <w:tc>
          <w:tcPr>
            <w:tcW w:type="dxa" w:w="4032"/>
            <w:shd w:val="clear" w:color="auto" w:fill="EEF3FA"/>
          </w:tcPr>
          <w:p>
            <w:pPr>
              <w:jc w:val="center"/>
            </w:pPr>
            <w:r>
              <w:rPr>
                <w:sz w:val="18"/>
              </w:rPr>
              <w:t>No / No phone service / Yes</w:t>
            </w:r>
          </w:p>
        </w:tc>
        <w:tc>
          <w:tcPr>
            <w:tcW w:type="dxa" w:w="2880"/>
            <w:shd w:val="clear" w:color="auto" w:fill="EEF3FA"/>
          </w:tcPr>
          <w:p>
            <w:pPr>
              <w:jc w:val="center"/>
            </w:pPr>
            <w:r>
              <w:rPr>
                <w:sz w:val="18"/>
              </w:rPr>
              <w:t>2</w:t>
            </w:r>
          </w:p>
        </w:tc>
      </w:tr>
      <w:tr>
        <w:tc>
          <w:tcPr>
            <w:tcW w:type="dxa" w:w="2304"/>
            <w:shd w:val="clear" w:color="auto" w:fill="FFFFFF"/>
          </w:tcPr>
          <w:p>
            <w:pPr>
              <w:jc w:val="center"/>
            </w:pPr>
            <w:r>
              <w:rPr>
                <w:sz w:val="18"/>
              </w:rPr>
              <w:t>InternetService</w:t>
            </w:r>
          </w:p>
        </w:tc>
        <w:tc>
          <w:tcPr>
            <w:tcW w:type="dxa" w:w="4032"/>
            <w:shd w:val="clear" w:color="auto" w:fill="FFFFFF"/>
          </w:tcPr>
          <w:p>
            <w:pPr>
              <w:jc w:val="center"/>
            </w:pPr>
            <w:r>
              <w:rPr>
                <w:sz w:val="18"/>
              </w:rPr>
              <w:t>DSL / Fiber optic / No</w:t>
            </w:r>
          </w:p>
        </w:tc>
        <w:tc>
          <w:tcPr>
            <w:tcW w:type="dxa" w:w="2880"/>
            <w:shd w:val="clear" w:color="auto" w:fill="FFFFFF"/>
          </w:tcPr>
          <w:p>
            <w:pPr>
              <w:jc w:val="center"/>
            </w:pPr>
            <w:r>
              <w:rPr>
                <w:sz w:val="18"/>
              </w:rPr>
              <w:t>2</w:t>
            </w:r>
          </w:p>
        </w:tc>
      </w:tr>
      <w:tr>
        <w:tc>
          <w:tcPr>
            <w:tcW w:type="dxa" w:w="2304"/>
            <w:shd w:val="clear" w:color="auto" w:fill="EEF3FA"/>
          </w:tcPr>
          <w:p>
            <w:pPr>
              <w:jc w:val="center"/>
            </w:pPr>
            <w:r>
              <w:rPr>
                <w:sz w:val="18"/>
              </w:rPr>
              <w:t>OnlineSecurity</w:t>
            </w:r>
          </w:p>
        </w:tc>
        <w:tc>
          <w:tcPr>
            <w:tcW w:type="dxa" w:w="4032"/>
            <w:shd w:val="clear" w:color="auto" w:fill="EEF3FA"/>
          </w:tcPr>
          <w:p>
            <w:pPr>
              <w:jc w:val="center"/>
            </w:pPr>
            <w:r>
              <w:rPr>
                <w:sz w:val="18"/>
              </w:rPr>
              <w:t>No / No internet service / Yes</w:t>
            </w:r>
          </w:p>
        </w:tc>
        <w:tc>
          <w:tcPr>
            <w:tcW w:type="dxa" w:w="2880"/>
            <w:shd w:val="clear" w:color="auto" w:fill="EEF3FA"/>
          </w:tcPr>
          <w:p>
            <w:pPr>
              <w:jc w:val="center"/>
            </w:pPr>
            <w:r>
              <w:rPr>
                <w:sz w:val="18"/>
              </w:rPr>
              <w:t>2</w:t>
            </w:r>
          </w:p>
        </w:tc>
      </w:tr>
      <w:tr>
        <w:tc>
          <w:tcPr>
            <w:tcW w:type="dxa" w:w="2304"/>
            <w:shd w:val="clear" w:color="auto" w:fill="FFFFFF"/>
          </w:tcPr>
          <w:p>
            <w:pPr>
              <w:jc w:val="center"/>
            </w:pPr>
            <w:r>
              <w:rPr>
                <w:sz w:val="18"/>
              </w:rPr>
              <w:t>TechSupport</w:t>
            </w:r>
          </w:p>
        </w:tc>
        <w:tc>
          <w:tcPr>
            <w:tcW w:type="dxa" w:w="4032"/>
            <w:shd w:val="clear" w:color="auto" w:fill="FFFFFF"/>
          </w:tcPr>
          <w:p>
            <w:pPr>
              <w:jc w:val="center"/>
            </w:pPr>
            <w:r>
              <w:rPr>
                <w:sz w:val="18"/>
              </w:rPr>
              <w:t>No / No internet service / Yes</w:t>
            </w:r>
          </w:p>
        </w:tc>
        <w:tc>
          <w:tcPr>
            <w:tcW w:type="dxa" w:w="2880"/>
            <w:shd w:val="clear" w:color="auto" w:fill="FFFFFF"/>
          </w:tcPr>
          <w:p>
            <w:pPr>
              <w:jc w:val="center"/>
            </w:pPr>
            <w:r>
              <w:rPr>
                <w:sz w:val="18"/>
              </w:rPr>
              <w:t>2</w:t>
            </w:r>
          </w:p>
        </w:tc>
      </w:tr>
      <w:tr>
        <w:tc>
          <w:tcPr>
            <w:tcW w:type="dxa" w:w="2304"/>
            <w:shd w:val="clear" w:color="auto" w:fill="EEF3FA"/>
          </w:tcPr>
          <w:p>
            <w:pPr>
              <w:jc w:val="center"/>
            </w:pPr>
            <w:r>
              <w:rPr>
                <w:sz w:val="18"/>
              </w:rPr>
              <w:t>Contract</w:t>
            </w:r>
          </w:p>
        </w:tc>
        <w:tc>
          <w:tcPr>
            <w:tcW w:type="dxa" w:w="4032"/>
            <w:shd w:val="clear" w:color="auto" w:fill="EEF3FA"/>
          </w:tcPr>
          <w:p>
            <w:pPr>
              <w:jc w:val="center"/>
            </w:pPr>
            <w:r>
              <w:rPr>
                <w:sz w:val="18"/>
              </w:rPr>
              <w:t>Month-to-month / One year / Two year</w:t>
            </w:r>
          </w:p>
        </w:tc>
        <w:tc>
          <w:tcPr>
            <w:tcW w:type="dxa" w:w="2880"/>
            <w:shd w:val="clear" w:color="auto" w:fill="EEF3FA"/>
          </w:tcPr>
          <w:p>
            <w:pPr>
              <w:jc w:val="center"/>
            </w:pPr>
            <w:r>
              <w:rPr>
                <w:sz w:val="18"/>
              </w:rPr>
              <w:t>2</w:t>
            </w:r>
          </w:p>
        </w:tc>
      </w:tr>
      <w:tr>
        <w:tc>
          <w:tcPr>
            <w:tcW w:type="dxa" w:w="2304"/>
            <w:shd w:val="clear" w:color="auto" w:fill="FFFFFF"/>
          </w:tcPr>
          <w:p>
            <w:pPr>
              <w:jc w:val="center"/>
            </w:pPr>
            <w:r>
              <w:rPr>
                <w:sz w:val="18"/>
              </w:rPr>
              <w:t>PaymentMethod</w:t>
            </w:r>
          </w:p>
        </w:tc>
        <w:tc>
          <w:tcPr>
            <w:tcW w:type="dxa" w:w="4032"/>
            <w:shd w:val="clear" w:color="auto" w:fill="FFFFFF"/>
          </w:tcPr>
          <w:p>
            <w:pPr>
              <w:jc w:val="center"/>
            </w:pPr>
            <w:r>
              <w:rPr>
                <w:sz w:val="18"/>
              </w:rPr>
              <w:t>Bank transfer / Credit card / Electronic check / Mailed check</w:t>
            </w:r>
          </w:p>
        </w:tc>
        <w:tc>
          <w:tcPr>
            <w:tcW w:type="dxa" w:w="2880"/>
            <w:shd w:val="clear" w:color="auto" w:fill="FFFFFF"/>
          </w:tcPr>
          <w:p>
            <w:pPr>
              <w:jc w:val="center"/>
            </w:pPr>
            <w:r>
              <w:rPr>
                <w:sz w:val="18"/>
              </w:rPr>
              <w:t>3</w:t>
            </w:r>
          </w:p>
        </w:tc>
      </w:tr>
      <w:tr>
        <w:tc>
          <w:tcPr>
            <w:tcW w:type="dxa" w:w="2304"/>
            <w:shd w:val="clear" w:color="auto" w:fill="EEF3FA"/>
          </w:tcPr>
          <w:p>
            <w:pPr>
              <w:jc w:val="center"/>
            </w:pPr>
            <w:r>
              <w:rPr>
                <w:sz w:val="18"/>
              </w:rPr>
              <w:t>TOTAL</w:t>
            </w:r>
          </w:p>
        </w:tc>
        <w:tc>
          <w:tcPr>
            <w:tcW w:type="dxa" w:w="4032"/>
            <w:shd w:val="clear" w:color="auto" w:fill="EEF3FA"/>
          </w:tcPr>
          <w:p>
            <w:pPr>
              <w:jc w:val="center"/>
            </w:pPr>
            <w:r>
              <w:rPr>
                <w:sz w:val="18"/>
              </w:rPr>
              <w:t>—</w:t>
            </w:r>
          </w:p>
        </w:tc>
        <w:tc>
          <w:tcPr>
            <w:tcW w:type="dxa" w:w="2880"/>
            <w:shd w:val="clear" w:color="auto" w:fill="EEF3FA"/>
          </w:tcPr>
          <w:p>
            <w:pPr>
              <w:jc w:val="center"/>
            </w:pPr>
            <w:r>
              <w:rPr>
                <w:sz w:val="18"/>
              </w:rPr>
              <w:t>13 new columns</w:t>
            </w:r>
          </w:p>
        </w:tc>
      </w:tr>
    </w:tbl>
    <w:p/>
    <w:p>
      <w:r>
        <w:rPr>
          <w:color w:val="1C1C2E"/>
          <w:sz w:val="20"/>
        </w:rPr>
        <w:t>Final processed dataset: 23 columns (16 after feature selection → +13 OHE columns → 23 total).</w:t>
      </w:r>
    </w:p>
    <w:p/>
    <w:p>
      <w:pPr>
        <w:pStyle w:val="Heading1"/>
        <w:jc w:val="left"/>
      </w:pPr>
      <w:r>
        <w:rPr>
          <w:color w:val="1A355E"/>
        </w:rPr>
        <w:t>8. Numerical Normalisation / Feature Scaling</w:t>
      </w:r>
    </w:p>
    <w:p>
      <w:r>
        <w:rPr>
          <w:color w:val="1C1C2E"/>
          <w:sz w:val="20"/>
        </w:rPr>
        <w:t>StandardScaler (Z-score normalisation) is applied exclusively to the three continuous numerical features: TenureMonths, MonthlyCharges, and TotalCharges. StandardScaler transforms each feature to zero mean and unit variance.</w:t>
      </w:r>
    </w:p>
    <w:p/>
    <w:p>
      <w:r>
        <w:rPr>
          <w:color w:val="1C1C2E"/>
          <w:sz w:val="20"/>
        </w:rPr>
        <w:t>Formula:  z = (x − μ) / σ   where μ = column mean, σ = column standard deviation</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A355E"/>
          </w:tcPr>
          <w:p>
            <w:pPr>
              <w:jc w:val="center"/>
            </w:pPr>
            <w:r>
              <w:rPr>
                <w:b/>
                <w:color w:val="FFFFFF"/>
                <w:sz w:val="18"/>
              </w:rPr>
              <w:t>Feature</w:t>
            </w:r>
          </w:p>
        </w:tc>
        <w:tc>
          <w:tcPr>
            <w:tcW w:type="dxa" w:w="3168"/>
            <w:shd w:val="clear" w:color="auto" w:fill="1A355E"/>
          </w:tcPr>
          <w:p>
            <w:pPr>
              <w:jc w:val="center"/>
            </w:pPr>
            <w:r>
              <w:rPr>
                <w:b/>
                <w:color w:val="FFFFFF"/>
                <w:sz w:val="18"/>
              </w:rPr>
              <w:t>Pre-scaling Range</w:t>
            </w:r>
          </w:p>
        </w:tc>
        <w:tc>
          <w:tcPr>
            <w:tcW w:type="dxa" w:w="2880"/>
            <w:shd w:val="clear" w:color="auto" w:fill="1A355E"/>
          </w:tcPr>
          <w:p>
            <w:pPr>
              <w:jc w:val="center"/>
            </w:pPr>
            <w:r>
              <w:rPr>
                <w:b/>
                <w:color w:val="FFFFFF"/>
                <w:sz w:val="18"/>
              </w:rPr>
              <w:t>Post-scaling Mean</w:t>
            </w:r>
          </w:p>
        </w:tc>
        <w:tc>
          <w:tcPr>
            <w:tcW w:type="dxa" w:w="2880"/>
            <w:shd w:val="clear" w:color="auto" w:fill="1A355E"/>
          </w:tcPr>
          <w:p>
            <w:pPr>
              <w:jc w:val="center"/>
            </w:pPr>
            <w:r>
              <w:rPr>
                <w:b/>
                <w:color w:val="FFFFFF"/>
                <w:sz w:val="18"/>
              </w:rPr>
              <w:t>Post-scaling Std</w:t>
            </w:r>
          </w:p>
        </w:tc>
      </w:tr>
      <w:tr>
        <w:tc>
          <w:tcPr>
            <w:tcW w:type="dxa" w:w="2880"/>
            <w:shd w:val="clear" w:color="auto" w:fill="EEF3FA"/>
          </w:tcPr>
          <w:p>
            <w:pPr>
              <w:jc w:val="center"/>
            </w:pPr>
            <w:r>
              <w:rPr>
                <w:sz w:val="18"/>
              </w:rPr>
              <w:t>TenureMonths</w:t>
            </w:r>
          </w:p>
        </w:tc>
        <w:tc>
          <w:tcPr>
            <w:tcW w:type="dxa" w:w="3168"/>
            <w:shd w:val="clear" w:color="auto" w:fill="EEF3FA"/>
          </w:tcPr>
          <w:p>
            <w:pPr>
              <w:jc w:val="center"/>
            </w:pPr>
            <w:r>
              <w:rPr>
                <w:sz w:val="18"/>
              </w:rPr>
              <w:t>1 – 72 months</w:t>
            </w:r>
          </w:p>
        </w:tc>
        <w:tc>
          <w:tcPr>
            <w:tcW w:type="dxa" w:w="2880"/>
            <w:shd w:val="clear" w:color="auto" w:fill="EEF3FA"/>
          </w:tcPr>
          <w:p>
            <w:pPr>
              <w:jc w:val="center"/>
            </w:pPr>
            <w:r>
              <w:rPr>
                <w:sz w:val="18"/>
              </w:rPr>
              <w:t>≈ 0.0000</w:t>
            </w:r>
          </w:p>
        </w:tc>
        <w:tc>
          <w:tcPr>
            <w:tcW w:type="dxa" w:w="2880"/>
            <w:shd w:val="clear" w:color="auto" w:fill="EEF3FA"/>
          </w:tcPr>
          <w:p>
            <w:pPr>
              <w:jc w:val="center"/>
            </w:pPr>
            <w:r>
              <w:rPr>
                <w:sz w:val="18"/>
              </w:rPr>
              <w:t>≈ 1.0004</w:t>
            </w:r>
          </w:p>
        </w:tc>
      </w:tr>
      <w:tr>
        <w:tc>
          <w:tcPr>
            <w:tcW w:type="dxa" w:w="2880"/>
            <w:shd w:val="clear" w:color="auto" w:fill="FFFFFF"/>
          </w:tcPr>
          <w:p>
            <w:pPr>
              <w:jc w:val="center"/>
            </w:pPr>
            <w:r>
              <w:rPr>
                <w:sz w:val="18"/>
              </w:rPr>
              <w:t>MonthlyCharges</w:t>
            </w:r>
          </w:p>
        </w:tc>
        <w:tc>
          <w:tcPr>
            <w:tcW w:type="dxa" w:w="3168"/>
            <w:shd w:val="clear" w:color="auto" w:fill="FFFFFF"/>
          </w:tcPr>
          <w:p>
            <w:pPr>
              <w:jc w:val="center"/>
            </w:pPr>
            <w:r>
              <w:rPr>
                <w:sz w:val="18"/>
              </w:rPr>
              <w:t>$18.00 – $118.00</w:t>
            </w:r>
          </w:p>
        </w:tc>
        <w:tc>
          <w:tcPr>
            <w:tcW w:type="dxa" w:w="2880"/>
            <w:shd w:val="clear" w:color="auto" w:fill="FFFFFF"/>
          </w:tcPr>
          <w:p>
            <w:pPr>
              <w:jc w:val="center"/>
            </w:pPr>
            <w:r>
              <w:rPr>
                <w:sz w:val="18"/>
              </w:rPr>
              <w:t>≈ 0.0000</w:t>
            </w:r>
          </w:p>
        </w:tc>
        <w:tc>
          <w:tcPr>
            <w:tcW w:type="dxa" w:w="2880"/>
            <w:shd w:val="clear" w:color="auto" w:fill="FFFFFF"/>
          </w:tcPr>
          <w:p>
            <w:pPr>
              <w:jc w:val="center"/>
            </w:pPr>
            <w:r>
              <w:rPr>
                <w:sz w:val="18"/>
              </w:rPr>
              <w:t>≈ 1.0004</w:t>
            </w:r>
          </w:p>
        </w:tc>
      </w:tr>
      <w:tr>
        <w:tc>
          <w:tcPr>
            <w:tcW w:type="dxa" w:w="2880"/>
            <w:shd w:val="clear" w:color="auto" w:fill="EEF3FA"/>
          </w:tcPr>
          <w:p>
            <w:pPr>
              <w:jc w:val="center"/>
            </w:pPr>
            <w:r>
              <w:rPr>
                <w:sz w:val="18"/>
              </w:rPr>
              <w:t>TotalCharges</w:t>
            </w:r>
          </w:p>
        </w:tc>
        <w:tc>
          <w:tcPr>
            <w:tcW w:type="dxa" w:w="3168"/>
            <w:shd w:val="clear" w:color="auto" w:fill="EEF3FA"/>
          </w:tcPr>
          <w:p>
            <w:pPr>
              <w:jc w:val="center"/>
            </w:pPr>
            <w:r>
              <w:rPr>
                <w:sz w:val="18"/>
              </w:rPr>
              <w:t>$18.00 – ~$8,264</w:t>
            </w:r>
          </w:p>
        </w:tc>
        <w:tc>
          <w:tcPr>
            <w:tcW w:type="dxa" w:w="2880"/>
            <w:shd w:val="clear" w:color="auto" w:fill="EEF3FA"/>
          </w:tcPr>
          <w:p>
            <w:pPr>
              <w:jc w:val="center"/>
            </w:pPr>
            <w:r>
              <w:rPr>
                <w:sz w:val="18"/>
              </w:rPr>
              <w:t>≈ 0.0000</w:t>
            </w:r>
          </w:p>
        </w:tc>
        <w:tc>
          <w:tcPr>
            <w:tcW w:type="dxa" w:w="2880"/>
            <w:shd w:val="clear" w:color="auto" w:fill="EEF3FA"/>
          </w:tcPr>
          <w:p>
            <w:pPr>
              <w:jc w:val="center"/>
            </w:pPr>
            <w:r>
              <w:rPr>
                <w:sz w:val="18"/>
              </w:rPr>
              <w:t>≈ 1.0004</w:t>
            </w:r>
          </w:p>
        </w:tc>
      </w:tr>
    </w:tbl>
    <w:p/>
    <w:p>
      <w:r>
        <w:rPr>
          <w:color w:val="1C1C2E"/>
          <w:sz w:val="20"/>
        </w:rPr>
        <w:t>All three features now have mean ≈ 0 and std ≈ 1, confirming correct StandardScaler application. Binary-encoded and one-hot-encoded columns are already in the [0, 1] range and are not scaled.</w:t>
      </w:r>
    </w:p>
    <w:p>
      <w:pPr>
        <w:jc w:val="center"/>
      </w:pPr>
      <w:r>
        <w:drawing>
          <wp:inline xmlns:a="http://schemas.openxmlformats.org/drawingml/2006/main" xmlns:pic="http://schemas.openxmlformats.org/drawingml/2006/picture">
            <wp:extent cx="5303520" cy="2209800"/>
            <wp:docPr id="2" name="Picture 2"/>
            <wp:cNvGraphicFramePr>
              <a:graphicFrameLocks noChangeAspect="1"/>
            </wp:cNvGraphicFramePr>
            <a:graphic>
              <a:graphicData uri="http://schemas.openxmlformats.org/drawingml/2006/picture">
                <pic:pic>
                  <pic:nvPicPr>
                    <pic:cNvPr id="0" name="feature_scaling_comparison.png"/>
                    <pic:cNvPicPr/>
                  </pic:nvPicPr>
                  <pic:blipFill>
                    <a:blip r:embed="rId10"/>
                    <a:stretch>
                      <a:fillRect/>
                    </a:stretch>
                  </pic:blipFill>
                  <pic:spPr>
                    <a:xfrm>
                      <a:off x="0" y="0"/>
                      <a:ext cx="5303520" cy="2209800"/>
                    </a:xfrm>
                    <a:prstGeom prst="rect"/>
                  </pic:spPr>
                </pic:pic>
              </a:graphicData>
            </a:graphic>
          </wp:inline>
        </w:drawing>
      </w:r>
    </w:p>
    <w:p>
      <w:pPr>
        <w:jc w:val="center"/>
      </w:pPr>
      <w:r>
        <w:rPr>
          <w:i/>
          <w:color w:val="555555"/>
          <w:sz w:val="18"/>
        </w:rPr>
        <w:t>Figure 3. MonthlyCharges distribution before (left, raw $) and after (right) StandardScaler normalisation. Post-scaling values are centred at mean=0 with unit standard deviation.</w:t>
      </w:r>
    </w:p>
    <w:p/>
    <w:p>
      <w:pPr>
        <w:pStyle w:val="Heading1"/>
        <w:jc w:val="left"/>
      </w:pPr>
      <w:r>
        <w:rPr>
          <w:color w:val="1A355E"/>
        </w:rPr>
        <w:t>9. Exploratory Data Analysis (EDA)</w:t>
      </w:r>
    </w:p>
    <w:p>
      <w:r>
        <w:rPr>
          <w:color w:val="1C1C2E"/>
          <w:sz w:val="20"/>
        </w:rPr>
        <w:t>Exploratory analysis is performed on both raw and processed datasets to uncover distributional patterns, class balance, feature relationships, and the impact of preprocessing.</w:t>
      </w:r>
    </w:p>
    <w:p>
      <w:pPr>
        <w:pStyle w:val="Heading2"/>
        <w:jc w:val="left"/>
      </w:pPr>
      <w:r>
        <w:rPr>
          <w:color w:val="2B5C8F"/>
        </w:rPr>
        <w:t>9.1  Target Variable Distribution</w:t>
      </w:r>
    </w:p>
    <w:p>
      <w:r>
        <w:rPr>
          <w:color w:val="1C1C2E"/>
          <w:sz w:val="20"/>
        </w:rPr>
        <w:t>The raw dataset (1,210 rows) shows the following churn distribution:</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A355E"/>
          </w:tcPr>
          <w:p>
            <w:pPr>
              <w:jc w:val="center"/>
            </w:pPr>
            <w:r>
              <w:rPr>
                <w:b/>
                <w:color w:val="FFFFFF"/>
                <w:sz w:val="18"/>
              </w:rPr>
              <w:t>Churn Status</w:t>
            </w:r>
          </w:p>
        </w:tc>
        <w:tc>
          <w:tcPr>
            <w:tcW w:type="dxa" w:w="2160"/>
            <w:shd w:val="clear" w:color="auto" w:fill="1A355E"/>
          </w:tcPr>
          <w:p>
            <w:pPr>
              <w:jc w:val="center"/>
            </w:pPr>
            <w:r>
              <w:rPr>
                <w:b/>
                <w:color w:val="FFFFFF"/>
                <w:sz w:val="18"/>
              </w:rPr>
              <w:t>Count (Raw)</w:t>
            </w:r>
          </w:p>
        </w:tc>
        <w:tc>
          <w:tcPr>
            <w:tcW w:type="dxa" w:w="2160"/>
            <w:shd w:val="clear" w:color="auto" w:fill="1A355E"/>
          </w:tcPr>
          <w:p>
            <w:pPr>
              <w:jc w:val="center"/>
            </w:pPr>
            <w:r>
              <w:rPr>
                <w:b/>
                <w:color w:val="FFFFFF"/>
                <w:sz w:val="18"/>
              </w:rPr>
              <w:t>Percentage (Raw)</w:t>
            </w:r>
          </w:p>
        </w:tc>
      </w:tr>
      <w:tr>
        <w:tc>
          <w:tcPr>
            <w:tcW w:type="dxa" w:w="3600"/>
            <w:shd w:val="clear" w:color="auto" w:fill="EEF3FA"/>
          </w:tcPr>
          <w:p>
            <w:pPr>
              <w:jc w:val="center"/>
            </w:pPr>
            <w:r>
              <w:rPr>
                <w:sz w:val="18"/>
              </w:rPr>
              <w:t>No  (Non-Churned)</w:t>
            </w:r>
          </w:p>
        </w:tc>
        <w:tc>
          <w:tcPr>
            <w:tcW w:type="dxa" w:w="2160"/>
            <w:shd w:val="clear" w:color="auto" w:fill="EEF3FA"/>
          </w:tcPr>
          <w:p>
            <w:pPr>
              <w:jc w:val="center"/>
            </w:pPr>
            <w:r>
              <w:rPr>
                <w:sz w:val="18"/>
              </w:rPr>
              <w:t>766</w:t>
            </w:r>
          </w:p>
        </w:tc>
        <w:tc>
          <w:tcPr>
            <w:tcW w:type="dxa" w:w="2160"/>
            <w:shd w:val="clear" w:color="auto" w:fill="EEF3FA"/>
          </w:tcPr>
          <w:p>
            <w:pPr>
              <w:jc w:val="center"/>
            </w:pPr>
            <w:r>
              <w:rPr>
                <w:sz w:val="18"/>
              </w:rPr>
              <w:t>63.3%</w:t>
            </w:r>
          </w:p>
        </w:tc>
      </w:tr>
      <w:tr>
        <w:tc>
          <w:tcPr>
            <w:tcW w:type="dxa" w:w="3600"/>
            <w:shd w:val="clear" w:color="auto" w:fill="FFFFFF"/>
          </w:tcPr>
          <w:p>
            <w:pPr>
              <w:jc w:val="center"/>
            </w:pPr>
            <w:r>
              <w:rPr>
                <w:sz w:val="18"/>
              </w:rPr>
              <w:t>Yes (Churned)</w:t>
            </w:r>
          </w:p>
        </w:tc>
        <w:tc>
          <w:tcPr>
            <w:tcW w:type="dxa" w:w="2160"/>
            <w:shd w:val="clear" w:color="auto" w:fill="FFFFFF"/>
          </w:tcPr>
          <w:p>
            <w:pPr>
              <w:jc w:val="center"/>
            </w:pPr>
            <w:r>
              <w:rPr>
                <w:sz w:val="18"/>
              </w:rPr>
              <w:t>444</w:t>
            </w:r>
          </w:p>
        </w:tc>
        <w:tc>
          <w:tcPr>
            <w:tcW w:type="dxa" w:w="2160"/>
            <w:shd w:val="clear" w:color="auto" w:fill="FFFFFF"/>
          </w:tcPr>
          <w:p>
            <w:pPr>
              <w:jc w:val="center"/>
            </w:pPr>
            <w:r>
              <w:rPr>
                <w:sz w:val="18"/>
              </w:rPr>
              <w:t>36.7%</w:t>
            </w:r>
          </w:p>
        </w:tc>
      </w:tr>
      <w:tr>
        <w:tc>
          <w:tcPr>
            <w:tcW w:type="dxa" w:w="3600"/>
            <w:shd w:val="clear" w:color="auto" w:fill="EEF3FA"/>
          </w:tcPr>
          <w:p>
            <w:pPr>
              <w:jc w:val="center"/>
            </w:pPr>
            <w:r>
              <w:rPr>
                <w:sz w:val="18"/>
              </w:rPr>
              <w:t>Total</w:t>
            </w:r>
          </w:p>
        </w:tc>
        <w:tc>
          <w:tcPr>
            <w:tcW w:type="dxa" w:w="2160"/>
            <w:shd w:val="clear" w:color="auto" w:fill="EEF3FA"/>
          </w:tcPr>
          <w:p>
            <w:pPr>
              <w:jc w:val="center"/>
            </w:pPr>
            <w:r>
              <w:rPr>
                <w:sz w:val="18"/>
              </w:rPr>
              <w:t>1210</w:t>
            </w:r>
          </w:p>
        </w:tc>
        <w:tc>
          <w:tcPr>
            <w:tcW w:type="dxa" w:w="2160"/>
            <w:shd w:val="clear" w:color="auto" w:fill="EEF3FA"/>
          </w:tcPr>
          <w:p>
            <w:pPr>
              <w:jc w:val="center"/>
            </w:pPr>
            <w:r>
              <w:rPr>
                <w:sz w:val="18"/>
              </w:rPr>
              <w:t>100%</w:t>
            </w:r>
          </w:p>
        </w:tc>
      </w:tr>
    </w:tbl>
    <w:p/>
    <w:p>
      <w:r>
        <w:rPr>
          <w:color w:val="1C1C2E"/>
          <w:sz w:val="20"/>
        </w:rPr>
        <w:t>After preprocessing (removing 10 duplicate rows), the processed dataset (1,200 rows) shows: Non-Churned = 761 (63.42%), Churned = 439 (36.58%). The dataset has a moderate class imbalance (~63:37) which should be addressed during model training using techniques such as class weighting or SMOTE oversampling.</w:t>
      </w:r>
    </w:p>
    <w:p/>
    <w:p>
      <w:pPr>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churn_distribution.png"/>
                    <pic:cNvPicPr/>
                  </pic:nvPicPr>
                  <pic:blipFill>
                    <a:blip r:embed="rId11"/>
                    <a:stretch>
                      <a:fillRect/>
                    </a:stretch>
                  </pic:blipFill>
                  <pic:spPr>
                    <a:xfrm>
                      <a:off x="0" y="0"/>
                      <a:ext cx="5303520" cy="2209800"/>
                    </a:xfrm>
                    <a:prstGeom prst="rect"/>
                  </pic:spPr>
                </pic:pic>
              </a:graphicData>
            </a:graphic>
          </wp:inline>
        </w:drawing>
      </w:r>
    </w:p>
    <w:p>
      <w:pPr>
        <w:jc w:val="center"/>
      </w:pPr>
      <w:r>
        <w:rPr>
          <w:i/>
          <w:color w:val="555555"/>
          <w:sz w:val="18"/>
        </w:rPr>
        <w:t>Figure 1. Customer churn class distribution in the raw dataset (1,210 rows). Left: bar chart showing Non-Churned=766, Churned=444. Right: pie chart showing 63.3% non-churned vs 36.7% churned.</w:t>
      </w:r>
    </w:p>
    <w:p/>
    <w:p>
      <w:pPr>
        <w:pStyle w:val="Heading2"/>
        <w:jc w:val="left"/>
      </w:pPr>
      <w:r>
        <w:rPr>
          <w:color w:val="2B5C8F"/>
        </w:rPr>
        <w:t>9.2  Churn by Contract Type</w:t>
      </w:r>
    </w:p>
    <w:p>
      <w:r>
        <w:rPr>
          <w:color w:val="1C1C2E"/>
          <w:sz w:val="20"/>
        </w:rPr>
        <w:t>Month-to-month contract customers exhibit significantly higher churn rates compared to one-year and two-year contract customers. This aligns with the dataset generation logic where month-to-month contracts carry a +0.25 churn probability boost.</w:t>
      </w:r>
    </w:p>
    <w:p>
      <w:pPr>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churn_by_contract.png"/>
                    <pic:cNvPicPr/>
                  </pic:nvPicPr>
                  <pic:blipFill>
                    <a:blip r:embed="rId12"/>
                    <a:stretch>
                      <a:fillRect/>
                    </a:stretch>
                  </pic:blipFill>
                  <pic:spPr>
                    <a:xfrm>
                      <a:off x="0" y="0"/>
                      <a:ext cx="5029200" cy="2794000"/>
                    </a:xfrm>
                    <a:prstGeom prst="rect"/>
                  </pic:spPr>
                </pic:pic>
              </a:graphicData>
            </a:graphic>
          </wp:inline>
        </w:drawing>
      </w:r>
    </w:p>
    <w:p>
      <w:pPr>
        <w:jc w:val="center"/>
      </w:pPr>
      <w:r>
        <w:rPr>
          <w:i/>
          <w:color w:val="555555"/>
          <w:sz w:val="18"/>
        </w:rPr>
        <w:t>Figure 4. Stacked bar chart of churn percentage by contract type. Month-to-month customers show the highest churn rate.</w:t>
      </w:r>
    </w:p>
    <w:p/>
    <w:p>
      <w:pPr>
        <w:pStyle w:val="Heading2"/>
        <w:jc w:val="left"/>
      </w:pPr>
      <w:r>
        <w:rPr>
          <w:color w:val="2B5C8F"/>
        </w:rPr>
        <w:t>9.3  Churn by Internet Service Type</w:t>
      </w:r>
    </w:p>
    <w:p>
      <w:r>
        <w:rPr>
          <w:color w:val="1C1C2E"/>
          <w:sz w:val="20"/>
        </w:rPr>
        <w:t>Fibre optic internet service customers exhibit higher churn rates than DSL or no-internet customers, consistent with the +0.12 churn probability applied to fibre optic customers during dataset generation.</w:t>
      </w:r>
    </w:p>
    <w:p>
      <w:pPr>
        <w:jc w:val="center"/>
      </w:pPr>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churn_by_internetservice.png"/>
                    <pic:cNvPicPr/>
                  </pic:nvPicPr>
                  <pic:blipFill>
                    <a:blip r:embed="rId13"/>
                    <a:stretch>
                      <a:fillRect/>
                    </a:stretch>
                  </pic:blipFill>
                  <pic:spPr>
                    <a:xfrm>
                      <a:off x="0" y="0"/>
                      <a:ext cx="5029200" cy="2794000"/>
                    </a:xfrm>
                    <a:prstGeom prst="rect"/>
                  </pic:spPr>
                </pic:pic>
              </a:graphicData>
            </a:graphic>
          </wp:inline>
        </w:drawing>
      </w:r>
    </w:p>
    <w:p>
      <w:pPr>
        <w:jc w:val="center"/>
      </w:pPr>
      <w:r>
        <w:rPr>
          <w:i/>
          <w:color w:val="555555"/>
          <w:sz w:val="18"/>
        </w:rPr>
        <w:t>Figure 5. Churn distribution across internet service types. Fibre optic customers show noticeably elevated churn rates.</w:t>
      </w:r>
    </w:p>
    <w:p/>
    <w:p>
      <w:pPr>
        <w:pStyle w:val="Heading2"/>
        <w:jc w:val="left"/>
      </w:pPr>
      <w:r>
        <w:rPr>
          <w:color w:val="2B5C8F"/>
        </w:rPr>
        <w:t>9.4  Feature Correlation Analysis</w:t>
      </w:r>
    </w:p>
    <w:p>
      <w:r>
        <w:rPr>
          <w:color w:val="1C1C2E"/>
          <w:sz w:val="20"/>
        </w:rPr>
        <w:t>A correlation heatmap of the top 12 features most correlated with the Churn target reveals positive correlations with month-to-month contract and fibre optic service, and negative correlations with long tenure and two-year contracts.</w:t>
      </w:r>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correlation_matrix.png"/>
                    <pic:cNvPicPr/>
                  </pic:nvPicPr>
                  <pic:blipFill>
                    <a:blip r:embed="rId14"/>
                    <a:stretch>
                      <a:fillRect/>
                    </a:stretch>
                  </pic:blipFill>
                  <pic:spPr>
                    <a:xfrm>
                      <a:off x="0" y="0"/>
                      <a:ext cx="5029200" cy="3771900"/>
                    </a:xfrm>
                    <a:prstGeom prst="rect"/>
                  </pic:spPr>
                </pic:pic>
              </a:graphicData>
            </a:graphic>
          </wp:inline>
        </w:drawing>
      </w:r>
    </w:p>
    <w:p>
      <w:pPr>
        <w:jc w:val="center"/>
      </w:pPr>
      <w:r>
        <w:rPr>
          <w:i/>
          <w:color w:val="555555"/>
          <w:sz w:val="18"/>
        </w:rPr>
        <w:t>Figure 6. Correlation heatmap of processed features vs. Churn. Warmer colours = stronger positive correlation; cooler colours = negative correlation.</w:t>
      </w:r>
    </w:p>
    <w:p/>
    <w:p>
      <w:pPr>
        <w:pStyle w:val="Heading1"/>
        <w:jc w:val="left"/>
      </w:pPr>
      <w:r>
        <w:rPr>
          <w:color w:val="1A355E"/>
        </w:rPr>
        <w:t>10. End-to-End Preprocessing Pipeline Summary</w:t>
      </w:r>
    </w:p>
    <w:p>
      <w:r>
        <w:rPr>
          <w:color w:val="1C1C2E"/>
          <w:sz w:val="20"/>
        </w:rPr>
        <w:t>The table below summarises key quality metrics before and after preprocessing:</w:t>
      </w:r>
    </w:p>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A355E"/>
          </w:tcPr>
          <w:p>
            <w:pPr>
              <w:jc w:val="center"/>
            </w:pPr>
            <w:r>
              <w:rPr>
                <w:b/>
                <w:color w:val="FFFFFF"/>
                <w:sz w:val="18"/>
              </w:rPr>
              <w:t>Metric</w:t>
            </w:r>
          </w:p>
        </w:tc>
        <w:tc>
          <w:tcPr>
            <w:tcW w:type="dxa" w:w="2880"/>
            <w:shd w:val="clear" w:color="auto" w:fill="1A355E"/>
          </w:tcPr>
          <w:p>
            <w:pPr>
              <w:jc w:val="center"/>
            </w:pPr>
            <w:r>
              <w:rPr>
                <w:b/>
                <w:color w:val="FFFFFF"/>
                <w:sz w:val="18"/>
              </w:rPr>
              <w:t>Raw Dataset</w:t>
            </w:r>
          </w:p>
        </w:tc>
        <w:tc>
          <w:tcPr>
            <w:tcW w:type="dxa" w:w="3024"/>
            <w:shd w:val="clear" w:color="auto" w:fill="1A355E"/>
          </w:tcPr>
          <w:p>
            <w:pPr>
              <w:jc w:val="center"/>
            </w:pPr>
            <w:r>
              <w:rPr>
                <w:b/>
                <w:color w:val="FFFFFF"/>
                <w:sz w:val="18"/>
              </w:rPr>
              <w:t>Processed Dataset</w:t>
            </w:r>
          </w:p>
        </w:tc>
      </w:tr>
      <w:tr>
        <w:tc>
          <w:tcPr>
            <w:tcW w:type="dxa" w:w="3600"/>
            <w:shd w:val="clear" w:color="auto" w:fill="EEF3FA"/>
          </w:tcPr>
          <w:p>
            <w:pPr>
              <w:jc w:val="center"/>
            </w:pPr>
            <w:r>
              <w:rPr>
                <w:sz w:val="18"/>
              </w:rPr>
              <w:t>Rows</w:t>
            </w:r>
          </w:p>
        </w:tc>
        <w:tc>
          <w:tcPr>
            <w:tcW w:type="dxa" w:w="2880"/>
            <w:shd w:val="clear" w:color="auto" w:fill="EEF3FA"/>
          </w:tcPr>
          <w:p>
            <w:pPr>
              <w:jc w:val="center"/>
            </w:pPr>
            <w:r>
              <w:rPr>
                <w:sz w:val="18"/>
              </w:rPr>
              <w:t>1210</w:t>
            </w:r>
          </w:p>
        </w:tc>
        <w:tc>
          <w:tcPr>
            <w:tcW w:type="dxa" w:w="3024"/>
            <w:shd w:val="clear" w:color="auto" w:fill="EEF3FA"/>
          </w:tcPr>
          <w:p>
            <w:pPr>
              <w:jc w:val="center"/>
            </w:pPr>
            <w:r>
              <w:rPr>
                <w:sz w:val="18"/>
              </w:rPr>
              <w:t>1200</w:t>
            </w:r>
          </w:p>
        </w:tc>
      </w:tr>
      <w:tr>
        <w:tc>
          <w:tcPr>
            <w:tcW w:type="dxa" w:w="3600"/>
            <w:shd w:val="clear" w:color="auto" w:fill="FFFFFF"/>
          </w:tcPr>
          <w:p>
            <w:pPr>
              <w:jc w:val="center"/>
            </w:pPr>
            <w:r>
              <w:rPr>
                <w:sz w:val="18"/>
              </w:rPr>
              <w:t>Columns</w:t>
            </w:r>
          </w:p>
        </w:tc>
        <w:tc>
          <w:tcPr>
            <w:tcW w:type="dxa" w:w="2880"/>
            <w:shd w:val="clear" w:color="auto" w:fill="FFFFFF"/>
          </w:tcPr>
          <w:p>
            <w:pPr>
              <w:jc w:val="center"/>
            </w:pPr>
            <w:r>
              <w:rPr>
                <w:sz w:val="18"/>
              </w:rPr>
              <w:t>19</w:t>
            </w:r>
          </w:p>
        </w:tc>
        <w:tc>
          <w:tcPr>
            <w:tcW w:type="dxa" w:w="3024"/>
            <w:shd w:val="clear" w:color="auto" w:fill="FFFFFF"/>
          </w:tcPr>
          <w:p>
            <w:pPr>
              <w:jc w:val="center"/>
            </w:pPr>
            <w:r>
              <w:rPr>
                <w:sz w:val="18"/>
              </w:rPr>
              <w:t>23</w:t>
            </w:r>
          </w:p>
        </w:tc>
      </w:tr>
      <w:tr>
        <w:tc>
          <w:tcPr>
            <w:tcW w:type="dxa" w:w="3600"/>
            <w:shd w:val="clear" w:color="auto" w:fill="EEF3FA"/>
          </w:tcPr>
          <w:p>
            <w:pPr>
              <w:jc w:val="center"/>
            </w:pPr>
            <w:r>
              <w:rPr>
                <w:sz w:val="18"/>
              </w:rPr>
              <w:t>Explicit NaN values</w:t>
            </w:r>
          </w:p>
        </w:tc>
        <w:tc>
          <w:tcPr>
            <w:tcW w:type="dxa" w:w="2880"/>
            <w:shd w:val="clear" w:color="auto" w:fill="EEF3FA"/>
          </w:tcPr>
          <w:p>
            <w:pPr>
              <w:jc w:val="center"/>
            </w:pPr>
            <w:r>
              <w:rPr>
                <w:sz w:val="18"/>
              </w:rPr>
              <w:t>93</w:t>
            </w:r>
          </w:p>
        </w:tc>
        <w:tc>
          <w:tcPr>
            <w:tcW w:type="dxa" w:w="3024"/>
            <w:shd w:val="clear" w:color="auto" w:fill="EEF3FA"/>
          </w:tcPr>
          <w:p>
            <w:pPr>
              <w:jc w:val="center"/>
            </w:pPr>
            <w:r>
              <w:rPr>
                <w:sz w:val="18"/>
              </w:rPr>
              <w:t>0</w:t>
            </w:r>
          </w:p>
        </w:tc>
      </w:tr>
      <w:tr>
        <w:tc>
          <w:tcPr>
            <w:tcW w:type="dxa" w:w="3600"/>
            <w:shd w:val="clear" w:color="auto" w:fill="FFFFFF"/>
          </w:tcPr>
          <w:p>
            <w:pPr>
              <w:jc w:val="center"/>
            </w:pPr>
            <w:r>
              <w:rPr>
                <w:sz w:val="18"/>
              </w:rPr>
              <w:t>Blank TotalCharges strings</w:t>
            </w:r>
          </w:p>
        </w:tc>
        <w:tc>
          <w:tcPr>
            <w:tcW w:type="dxa" w:w="2880"/>
            <w:shd w:val="clear" w:color="auto" w:fill="FFFFFF"/>
          </w:tcPr>
          <w:p>
            <w:pPr>
              <w:jc w:val="center"/>
            </w:pPr>
            <w:r>
              <w:rPr>
                <w:sz w:val="18"/>
              </w:rPr>
              <w:t>25</w:t>
            </w:r>
          </w:p>
        </w:tc>
        <w:tc>
          <w:tcPr>
            <w:tcW w:type="dxa" w:w="3024"/>
            <w:shd w:val="clear" w:color="auto" w:fill="FFFFFF"/>
          </w:tcPr>
          <w:p>
            <w:pPr>
              <w:jc w:val="center"/>
            </w:pPr>
            <w:r>
              <w:rPr>
                <w:sz w:val="18"/>
              </w:rPr>
              <w:t>0 (coerced → imputed)</w:t>
            </w:r>
          </w:p>
        </w:tc>
      </w:tr>
      <w:tr>
        <w:tc>
          <w:tcPr>
            <w:tcW w:type="dxa" w:w="3600"/>
            <w:shd w:val="clear" w:color="auto" w:fill="EEF3FA"/>
          </w:tcPr>
          <w:p>
            <w:pPr>
              <w:jc w:val="center"/>
            </w:pPr>
            <w:r>
              <w:rPr>
                <w:sz w:val="18"/>
              </w:rPr>
              <w:t>Invalid negatives → NaN</w:t>
            </w:r>
          </w:p>
        </w:tc>
        <w:tc>
          <w:tcPr>
            <w:tcW w:type="dxa" w:w="2880"/>
            <w:shd w:val="clear" w:color="auto" w:fill="EEF3FA"/>
          </w:tcPr>
          <w:p>
            <w:pPr>
              <w:jc w:val="center"/>
            </w:pPr>
            <w:r>
              <w:rPr>
                <w:sz w:val="18"/>
              </w:rPr>
              <w:t>2</w:t>
            </w:r>
          </w:p>
        </w:tc>
        <w:tc>
          <w:tcPr>
            <w:tcW w:type="dxa" w:w="3024"/>
            <w:shd w:val="clear" w:color="auto" w:fill="EEF3FA"/>
          </w:tcPr>
          <w:p>
            <w:pPr>
              <w:jc w:val="center"/>
            </w:pPr>
            <w:r>
              <w:rPr>
                <w:sz w:val="18"/>
              </w:rPr>
              <w:t>0 (imputed)</w:t>
            </w:r>
          </w:p>
        </w:tc>
      </w:tr>
      <w:tr>
        <w:tc>
          <w:tcPr>
            <w:tcW w:type="dxa" w:w="3600"/>
            <w:shd w:val="clear" w:color="auto" w:fill="FFFFFF"/>
          </w:tcPr>
          <w:p>
            <w:pPr>
              <w:jc w:val="center"/>
            </w:pPr>
            <w:r>
              <w:rPr>
                <w:sz w:val="18"/>
              </w:rPr>
              <w:t>Total missing-like cells handled</w:t>
            </w:r>
          </w:p>
        </w:tc>
        <w:tc>
          <w:tcPr>
            <w:tcW w:type="dxa" w:w="2880"/>
            <w:shd w:val="clear" w:color="auto" w:fill="FFFFFF"/>
          </w:tcPr>
          <w:p>
            <w:pPr>
              <w:jc w:val="center"/>
            </w:pPr>
            <w:r>
              <w:rPr>
                <w:sz w:val="18"/>
              </w:rPr>
              <w:t>120</w:t>
            </w:r>
          </w:p>
        </w:tc>
        <w:tc>
          <w:tcPr>
            <w:tcW w:type="dxa" w:w="3024"/>
            <w:shd w:val="clear" w:color="auto" w:fill="FFFFFF"/>
          </w:tcPr>
          <w:p>
            <w:pPr>
              <w:jc w:val="center"/>
            </w:pPr>
            <w:r>
              <w:rPr>
                <w:sz w:val="18"/>
              </w:rPr>
              <w:t>0</w:t>
            </w:r>
          </w:p>
        </w:tc>
      </w:tr>
      <w:tr>
        <w:tc>
          <w:tcPr>
            <w:tcW w:type="dxa" w:w="3600"/>
            <w:shd w:val="clear" w:color="auto" w:fill="EEF3FA"/>
          </w:tcPr>
          <w:p>
            <w:pPr>
              <w:jc w:val="center"/>
            </w:pPr>
            <w:r>
              <w:rPr>
                <w:sz w:val="18"/>
              </w:rPr>
              <w:t>Duplicate Rows</w:t>
            </w:r>
          </w:p>
        </w:tc>
        <w:tc>
          <w:tcPr>
            <w:tcW w:type="dxa" w:w="2880"/>
            <w:shd w:val="clear" w:color="auto" w:fill="EEF3FA"/>
          </w:tcPr>
          <w:p>
            <w:pPr>
              <w:jc w:val="center"/>
            </w:pPr>
            <w:r>
              <w:rPr>
                <w:sz w:val="18"/>
              </w:rPr>
              <w:t>10</w:t>
            </w:r>
          </w:p>
        </w:tc>
        <w:tc>
          <w:tcPr>
            <w:tcW w:type="dxa" w:w="3024"/>
            <w:shd w:val="clear" w:color="auto" w:fill="EEF3FA"/>
          </w:tcPr>
          <w:p>
            <w:pPr>
              <w:jc w:val="center"/>
            </w:pPr>
            <w:r>
              <w:rPr>
                <w:sz w:val="18"/>
              </w:rPr>
              <w:t>0</w:t>
            </w:r>
          </w:p>
        </w:tc>
      </w:tr>
      <w:tr>
        <w:tc>
          <w:tcPr>
            <w:tcW w:type="dxa" w:w="3600"/>
            <w:shd w:val="clear" w:color="auto" w:fill="FFFFFF"/>
          </w:tcPr>
          <w:p>
            <w:pPr>
              <w:jc w:val="center"/>
            </w:pPr>
            <w:r>
              <w:rPr>
                <w:sz w:val="18"/>
              </w:rPr>
              <w:t>Values IQR-capped</w:t>
            </w:r>
          </w:p>
        </w:tc>
        <w:tc>
          <w:tcPr>
            <w:tcW w:type="dxa" w:w="2880"/>
            <w:shd w:val="clear" w:color="auto" w:fill="FFFFFF"/>
          </w:tcPr>
          <w:p>
            <w:pPr>
              <w:jc w:val="center"/>
            </w:pPr>
            <w:r>
              <w:rPr>
                <w:sz w:val="18"/>
              </w:rPr>
              <w:t>3 (MC: 2, TN: 1, TC: 0)</w:t>
            </w:r>
          </w:p>
        </w:tc>
        <w:tc>
          <w:tcPr>
            <w:tcW w:type="dxa" w:w="3024"/>
            <w:shd w:val="clear" w:color="auto" w:fill="FFFFFF"/>
          </w:tcPr>
          <w:p>
            <w:pPr>
              <w:jc w:val="center"/>
            </w:pPr>
            <w:r>
              <w:rPr>
                <w:sz w:val="18"/>
              </w:rPr>
              <w:t>0 (all within bounds)</w:t>
            </w:r>
          </w:p>
        </w:tc>
      </w:tr>
      <w:tr>
        <w:tc>
          <w:tcPr>
            <w:tcW w:type="dxa" w:w="3600"/>
            <w:shd w:val="clear" w:color="auto" w:fill="EEF3FA"/>
          </w:tcPr>
          <w:p>
            <w:pPr>
              <w:jc w:val="center"/>
            </w:pPr>
            <w:r>
              <w:rPr>
                <w:sz w:val="18"/>
              </w:rPr>
              <w:t>Object (string) Columns</w:t>
            </w:r>
          </w:p>
        </w:tc>
        <w:tc>
          <w:tcPr>
            <w:tcW w:type="dxa" w:w="2880"/>
            <w:shd w:val="clear" w:color="auto" w:fill="EEF3FA"/>
          </w:tcPr>
          <w:p>
            <w:pPr>
              <w:jc w:val="center"/>
            </w:pPr>
            <w:r>
              <w:rPr>
                <w:sz w:val="18"/>
              </w:rPr>
              <w:t>15 total</w:t>
              <w:br/>
              <w:t>(13 predictors + CustomerID + Churn)</w:t>
            </w:r>
          </w:p>
        </w:tc>
        <w:tc>
          <w:tcPr>
            <w:tcW w:type="dxa" w:w="3024"/>
            <w:shd w:val="clear" w:color="auto" w:fill="EEF3FA"/>
          </w:tcPr>
          <w:p>
            <w:pPr>
              <w:jc w:val="center"/>
            </w:pPr>
            <w:r>
              <w:rPr>
                <w:sz w:val="18"/>
              </w:rPr>
              <w:t>0 (all numeric)</w:t>
            </w:r>
          </w:p>
        </w:tc>
      </w:tr>
      <w:tr>
        <w:tc>
          <w:tcPr>
            <w:tcW w:type="dxa" w:w="3600"/>
            <w:shd w:val="clear" w:color="auto" w:fill="FFFFFF"/>
          </w:tcPr>
          <w:p>
            <w:pPr>
              <w:jc w:val="center"/>
            </w:pPr>
            <w:r>
              <w:rPr>
                <w:sz w:val="18"/>
              </w:rPr>
              <w:t>Churn: Non-Churned</w:t>
            </w:r>
          </w:p>
        </w:tc>
        <w:tc>
          <w:tcPr>
            <w:tcW w:type="dxa" w:w="2880"/>
            <w:shd w:val="clear" w:color="auto" w:fill="FFFFFF"/>
          </w:tcPr>
          <w:p>
            <w:pPr>
              <w:jc w:val="center"/>
            </w:pPr>
            <w:r>
              <w:rPr>
                <w:sz w:val="18"/>
              </w:rPr>
              <w:t>766 (63.3%)</w:t>
            </w:r>
          </w:p>
        </w:tc>
        <w:tc>
          <w:tcPr>
            <w:tcW w:type="dxa" w:w="3024"/>
            <w:shd w:val="clear" w:color="auto" w:fill="FFFFFF"/>
          </w:tcPr>
          <w:p>
            <w:pPr>
              <w:jc w:val="center"/>
            </w:pPr>
            <w:r>
              <w:rPr>
                <w:sz w:val="18"/>
              </w:rPr>
              <w:t>761 (63.42%)</w:t>
            </w:r>
          </w:p>
        </w:tc>
      </w:tr>
      <w:tr>
        <w:tc>
          <w:tcPr>
            <w:tcW w:type="dxa" w:w="3600"/>
            <w:shd w:val="clear" w:color="auto" w:fill="EEF3FA"/>
          </w:tcPr>
          <w:p>
            <w:pPr>
              <w:jc w:val="center"/>
            </w:pPr>
            <w:r>
              <w:rPr>
                <w:sz w:val="18"/>
              </w:rPr>
              <w:t>Churn: Churned</w:t>
            </w:r>
          </w:p>
        </w:tc>
        <w:tc>
          <w:tcPr>
            <w:tcW w:type="dxa" w:w="2880"/>
            <w:shd w:val="clear" w:color="auto" w:fill="EEF3FA"/>
          </w:tcPr>
          <w:p>
            <w:pPr>
              <w:jc w:val="center"/>
            </w:pPr>
            <w:r>
              <w:rPr>
                <w:sz w:val="18"/>
              </w:rPr>
              <w:t>444 (36.7%)</w:t>
            </w:r>
          </w:p>
        </w:tc>
        <w:tc>
          <w:tcPr>
            <w:tcW w:type="dxa" w:w="3024"/>
            <w:shd w:val="clear" w:color="auto" w:fill="EEF3FA"/>
          </w:tcPr>
          <w:p>
            <w:pPr>
              <w:jc w:val="center"/>
            </w:pPr>
            <w:r>
              <w:rPr>
                <w:sz w:val="18"/>
              </w:rPr>
              <w:t>439 (36.58%)</w:t>
            </w:r>
          </w:p>
        </w:tc>
      </w:tr>
      <w:tr>
        <w:tc>
          <w:tcPr>
            <w:tcW w:type="dxa" w:w="3600"/>
            <w:shd w:val="clear" w:color="auto" w:fill="FFFFFF"/>
          </w:tcPr>
          <w:p>
            <w:pPr>
              <w:jc w:val="center"/>
            </w:pPr>
            <w:r>
              <w:rPr>
                <w:sz w:val="18"/>
              </w:rPr>
              <w:t>Scaled Numerical Cols</w:t>
            </w:r>
          </w:p>
        </w:tc>
        <w:tc>
          <w:tcPr>
            <w:tcW w:type="dxa" w:w="2880"/>
            <w:shd w:val="clear" w:color="auto" w:fill="FFFFFF"/>
          </w:tcPr>
          <w:p>
            <w:pPr>
              <w:jc w:val="center"/>
            </w:pPr>
            <w:r>
              <w:rPr>
                <w:sz w:val="18"/>
              </w:rPr>
              <w:t>None</w:t>
            </w:r>
          </w:p>
        </w:tc>
        <w:tc>
          <w:tcPr>
            <w:tcW w:type="dxa" w:w="3024"/>
            <w:shd w:val="clear" w:color="auto" w:fill="FFFFFF"/>
          </w:tcPr>
          <w:p>
            <w:pPr>
              <w:jc w:val="center"/>
            </w:pPr>
            <w:r>
              <w:rPr>
                <w:sz w:val="18"/>
              </w:rPr>
              <w:t>TenureMonths, MonthlyCharges, TotalCharges</w:t>
            </w:r>
          </w:p>
        </w:tc>
      </w:tr>
      <w:tr>
        <w:tc>
          <w:tcPr>
            <w:tcW w:type="dxa" w:w="3600"/>
            <w:shd w:val="clear" w:color="auto" w:fill="EEF3FA"/>
          </w:tcPr>
          <w:p>
            <w:pPr>
              <w:jc w:val="center"/>
            </w:pPr>
            <w:r>
              <w:rPr>
                <w:sz w:val="18"/>
              </w:rPr>
              <w:t>Memory Usage</w:t>
            </w:r>
          </w:p>
        </w:tc>
        <w:tc>
          <w:tcPr>
            <w:tcW w:type="dxa" w:w="2880"/>
            <w:shd w:val="clear" w:color="auto" w:fill="EEF3FA"/>
          </w:tcPr>
          <w:p>
            <w:pPr>
              <w:jc w:val="center"/>
            </w:pPr>
            <w:r>
              <w:rPr>
                <w:sz w:val="18"/>
              </w:rPr>
              <w:t>~1.12 MB</w:t>
            </w:r>
          </w:p>
        </w:tc>
        <w:tc>
          <w:tcPr>
            <w:tcW w:type="dxa" w:w="3024"/>
            <w:shd w:val="clear" w:color="auto" w:fill="EEF3FA"/>
          </w:tcPr>
          <w:p>
            <w:pPr>
              <w:jc w:val="center"/>
            </w:pPr>
            <w:r>
              <w:rPr>
                <w:sz w:val="18"/>
              </w:rPr>
              <w:t>~0.21 MB (~81.1% reduction)</w:t>
            </w:r>
          </w:p>
        </w:tc>
      </w:tr>
    </w:tbl>
    <w:p/>
    <w:p>
      <w:r>
        <w:rPr>
          <w:color w:val="1C1C2E"/>
          <w:sz w:val="20"/>
        </w:rPr>
        <w:t>After completing all preprocessing stages, the processed dataset is suitable as a preprocessed input for downstream machine learning tasks. All features are numeric, missing cells have been imputed, outliers capped or corrected, and continuous features normalised. The dataset can be split into train/test sets and fed directly into scikit-learn estimators such as LogisticRegression, RandomForestClassifier, or XGBClassifier.</w:t>
      </w:r>
    </w:p>
    <w:p/>
    <w:p>
      <w:pPr>
        <w:pStyle w:val="Heading1"/>
        <w:jc w:val="left"/>
      </w:pPr>
      <w:r>
        <w:rPr>
          <w:color w:val="1A355E"/>
        </w:rPr>
        <w:t>11. Documentation of Each Preprocessing Step</w:t>
      </w:r>
    </w:p>
    <w:p>
      <w:r>
        <w:rPr>
          <w:b/>
          <w:color w:val="2B5C8F"/>
          <w:sz w:val="20"/>
        </w:rPr>
        <w:t>Step 1: Dataset Generation</w:t>
      </w:r>
    </w:p>
    <w:p>
      <w:pPr>
        <w:ind w:left="432"/>
      </w:pPr>
      <w:r>
        <w:rPr>
          <w:color w:val="1C1C2E"/>
          <w:sz w:val="20"/>
        </w:rPr>
        <w:t>src/generate_dataset.py — A synthetic dataset of 1,200 base records is generated with np.random.seed(42). Ten duplicate rows are appended, producing 1,210 raw rows. Intentional flaws (93 NaN, 25 blank TotalCharges strings, 2 negative values, outliers, inconsistent categories) are injected to simulate real-world data quality issues.</w:t>
      </w:r>
    </w:p>
    <w:p/>
    <w:p>
      <w:r>
        <w:rPr>
          <w:b/>
          <w:color w:val="2B5C8F"/>
          <w:sz w:val="20"/>
        </w:rPr>
        <w:t>Step 2: Data Loading</w:t>
      </w:r>
    </w:p>
    <w:p>
      <w:pPr>
        <w:ind w:left="432"/>
      </w:pPr>
      <w:r>
        <w:rPr>
          <w:color w:val="1C1C2E"/>
          <w:sz w:val="20"/>
        </w:rPr>
        <w:t>ChurnDataPreprocessor.load_data() — pd.read_csv() loads the raw CSV from data/raw/customer_churn_raw.csv. Shape (1210, 19) and dtypes are verified immediately.</w:t>
      </w:r>
    </w:p>
    <w:p/>
    <w:p>
      <w:r>
        <w:rPr>
          <w:b/>
          <w:color w:val="2B5C8F"/>
          <w:sz w:val="20"/>
        </w:rPr>
        <w:t>Step 3: Formatting &amp; Invalid Value Correction</w:t>
      </w:r>
    </w:p>
    <w:p>
      <w:pPr>
        <w:ind w:left="432"/>
      </w:pPr>
      <w:r>
        <w:rPr>
          <w:color w:val="1C1C2E"/>
          <w:sz w:val="20"/>
        </w:rPr>
        <w:t>clean_initial_formatting() — (a) TotalCharges blank strings are stripped and pd.to_numeric(..., errors='coerce') converts 25 cells to NaN, then casts column to float64. (b) MonthlyCharges=−150.0 set to NaN (physically impossible). (c) TenureMonths=−12.0 set to NaN (physically impossible). These 2 invalid values are NOT IQR-capped — they are treated as data entry errors and subsequently imputed in Step 6.</w:t>
      </w:r>
    </w:p>
    <w:p/>
    <w:p>
      <w:r>
        <w:rPr>
          <w:b/>
          <w:color w:val="2B5C8F"/>
          <w:sz w:val="20"/>
        </w:rPr>
        <w:t>Step 4: Duplicate Removal</w:t>
      </w:r>
    </w:p>
    <w:p>
      <w:pPr>
        <w:ind w:left="432"/>
      </w:pPr>
      <w:r>
        <w:rPr>
          <w:color w:val="1C1C2E"/>
          <w:sz w:val="20"/>
        </w:rPr>
        <w:t>remove_duplicates() — drop_duplicates(subset=['CustomerID'], keep='first') removes 10 duplicate records. Row count: 1210 → 1200.</w:t>
      </w:r>
    </w:p>
    <w:p/>
    <w:p>
      <w:r>
        <w:rPr>
          <w:b/>
          <w:color w:val="2B5C8F"/>
          <w:sz w:val="20"/>
        </w:rPr>
        <w:t>Step 5: Categorical Standardisation</w:t>
      </w:r>
    </w:p>
    <w:p>
      <w:pPr>
        <w:ind w:left="432"/>
      </w:pPr>
      <w:r>
        <w:rPr>
          <w:color w:val="1C1C2E"/>
          <w:sz w:val="20"/>
        </w:rPr>
        <w:t>standardize_categorical_values() — A dictionary map normalises Gender variants ('female', 'F', 'male', 'M') to canonical 'Female' / 'Male' before encoding.</w:t>
      </w:r>
    </w:p>
    <w:p/>
    <w:p>
      <w:r>
        <w:rPr>
          <w:b/>
          <w:color w:val="2B5C8F"/>
          <w:sz w:val="20"/>
        </w:rPr>
        <w:t>Step 6: Missing Value Imputation</w:t>
      </w:r>
    </w:p>
    <w:p>
      <w:pPr>
        <w:ind w:left="432"/>
      </w:pPr>
      <w:r>
        <w:rPr>
          <w:color w:val="1C1C2E"/>
          <w:sz w:val="20"/>
        </w:rPr>
        <w:t>handle_missing_values() — 120 missing or invalid cells are imputed: • 93 explicit NaN + 25 blank TotalCharges + 2 negative→NaN = 120 total. Numerical columns (SeniorCitizen, TenureMonths, MonthlyCharges, TotalCharges) use median imputation (robust against skewed values). Categorical columns (Gender, PaymentMethod) use mode imputation.</w:t>
      </w:r>
    </w:p>
    <w:p/>
    <w:p>
      <w:r>
        <w:rPr>
          <w:b/>
          <w:color w:val="2B5C8F"/>
          <w:sz w:val="20"/>
        </w:rPr>
        <w:t>Step 7: Outlier Detection &amp; Treatment (IQR-Based Capping)</w:t>
      </w:r>
    </w:p>
    <w:p>
      <w:pPr>
        <w:ind w:left="432"/>
      </w:pPr>
      <w:r>
        <w:rPr>
          <w:color w:val="1C1C2E"/>
          <w:sz w:val="20"/>
        </w:rPr>
        <w:t>detect_and_cap_outliers() via utils.compute_iqr_outliers() — IQR-based capping applied to MonthlyCharges (2 values capped: 9,999 and 4,500 → upper bound $147.12; bounds [$5.57, $147.12]) and TenureMonths (1 value capped: 350 → 106.5m; bounds [-33.5m, 106.5m]). TotalCharges had 0 values outside IQR bounds. Total IQR-capped: 3 values. Note: The 2 negative values (−150 and −12) were already corrected in Step 3 and are NOT counted here.</w:t>
      </w:r>
    </w:p>
    <w:p/>
    <w:p>
      <w:r>
        <w:rPr>
          <w:b/>
          <w:color w:val="2B5C8F"/>
          <w:sz w:val="20"/>
        </w:rPr>
        <w:t>Step 8: Feature Selection</w:t>
      </w:r>
    </w:p>
    <w:p>
      <w:pPr>
        <w:ind w:left="432"/>
      </w:pPr>
      <w:r>
        <w:rPr>
          <w:color w:val="1C1C2E"/>
          <w:sz w:val="20"/>
        </w:rPr>
        <w:t>perform_feature_selection() — 3 non-predictive columns dropped: CustomerID (primary key with no predictive signal), SystemLogCode (arbitrary internal code), RandomNoiseScore (explicitly random noise feature).</w:t>
      </w:r>
    </w:p>
    <w:p/>
    <w:p>
      <w:r>
        <w:rPr>
          <w:b/>
          <w:color w:val="2B5C8F"/>
          <w:sz w:val="20"/>
        </w:rPr>
        <w:t>Step 9: Categorical Variable Encoding</w:t>
      </w:r>
    </w:p>
    <w:p>
      <w:pPr>
        <w:ind w:left="432"/>
      </w:pPr>
      <w:r>
        <w:rPr>
          <w:color w:val="1C1C2E"/>
          <w:sz w:val="20"/>
        </w:rPr>
        <w:t>encode_categorical_variables() — 6 binary columns mapped to 0/1 integers (Gender, SeniorCitizen, Partner, Dependents, PhoneService, PaperlessBilling). Churn target encoded: No→0, Yes→1. 6 multi-category columns one-hot encoded via pd.get_dummies(drop_first=True) producing 13 new indicator columns. Final column count: 23.</w:t>
      </w:r>
    </w:p>
    <w:p/>
    <w:p>
      <w:r>
        <w:rPr>
          <w:b/>
          <w:color w:val="2B5C8F"/>
          <w:sz w:val="20"/>
        </w:rPr>
        <w:t>Step 10: Feature Scaling (StandardScaler)</w:t>
      </w:r>
    </w:p>
    <w:p>
      <w:pPr>
        <w:ind w:left="432"/>
      </w:pPr>
      <w:r>
        <w:rPr>
          <w:color w:val="1C1C2E"/>
          <w:sz w:val="20"/>
        </w:rPr>
        <w:t>scale_numerical_features() — StandardScaler applied exclusively to TenureMonths, MonthlyCharges, and TotalCharges (the 3 continuous numerical features). All three columns transformed to mean ≈ 0, std ≈ 1. Binary and one-hot encoded columns are not scaled (already in the [0, 1] range).</w:t>
      </w:r>
    </w:p>
    <w:p/>
    <w:p>
      <w:pPr>
        <w:pStyle w:val="Heading1"/>
        <w:jc w:val="left"/>
      </w:pPr>
      <w:r>
        <w:rPr>
          <w:color w:val="1A355E"/>
        </w:rPr>
        <w:t>12. Project Structure &amp; Reproducibility</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A355E"/>
          </w:tcPr>
          <w:p>
            <w:pPr>
              <w:jc w:val="center"/>
            </w:pPr>
            <w:r>
              <w:rPr>
                <w:b/>
                <w:color w:val="FFFFFF"/>
                <w:sz w:val="18"/>
              </w:rPr>
              <w:t>File / Directory</w:t>
            </w:r>
          </w:p>
        </w:tc>
        <w:tc>
          <w:tcPr>
            <w:tcW w:type="dxa" w:w="4896"/>
            <w:shd w:val="clear" w:color="auto" w:fill="1A355E"/>
          </w:tcPr>
          <w:p>
            <w:pPr>
              <w:jc w:val="center"/>
            </w:pPr>
            <w:r>
              <w:rPr>
                <w:b/>
                <w:color w:val="FFFFFF"/>
                <w:sz w:val="18"/>
              </w:rPr>
              <w:t>Purpose</w:t>
            </w:r>
          </w:p>
        </w:tc>
      </w:tr>
      <w:tr>
        <w:tc>
          <w:tcPr>
            <w:tcW w:type="dxa" w:w="4320"/>
            <w:shd w:val="clear" w:color="auto" w:fill="EEF3FA"/>
          </w:tcPr>
          <w:p>
            <w:pPr>
              <w:jc w:val="center"/>
            </w:pPr>
            <w:r>
              <w:rPr>
                <w:sz w:val="18"/>
              </w:rPr>
              <w:t>src/generate_dataset.py</w:t>
            </w:r>
          </w:p>
        </w:tc>
        <w:tc>
          <w:tcPr>
            <w:tcW w:type="dxa" w:w="4896"/>
            <w:shd w:val="clear" w:color="auto" w:fill="EEF3FA"/>
          </w:tcPr>
          <w:p>
            <w:pPr>
              <w:jc w:val="center"/>
            </w:pPr>
            <w:r>
              <w:rPr>
                <w:sz w:val="18"/>
              </w:rPr>
              <w:t>Generates synthetic raw dataset with intentional flaws</w:t>
            </w:r>
          </w:p>
        </w:tc>
      </w:tr>
      <w:tr>
        <w:tc>
          <w:tcPr>
            <w:tcW w:type="dxa" w:w="4320"/>
            <w:shd w:val="clear" w:color="auto" w:fill="FFFFFF"/>
          </w:tcPr>
          <w:p>
            <w:pPr>
              <w:jc w:val="center"/>
            </w:pPr>
            <w:r>
              <w:rPr>
                <w:sz w:val="18"/>
              </w:rPr>
              <w:t>src/data_preprocessing.py</w:t>
            </w:r>
          </w:p>
        </w:tc>
        <w:tc>
          <w:tcPr>
            <w:tcW w:type="dxa" w:w="4896"/>
            <w:shd w:val="clear" w:color="auto" w:fill="FFFFFF"/>
          </w:tcPr>
          <w:p>
            <w:pPr>
              <w:jc w:val="center"/>
            </w:pPr>
            <w:r>
              <w:rPr>
                <w:sz w:val="18"/>
              </w:rPr>
              <w:t>ChurnDataPreprocessor class — full 7-stage pipeline</w:t>
            </w:r>
          </w:p>
        </w:tc>
      </w:tr>
      <w:tr>
        <w:tc>
          <w:tcPr>
            <w:tcW w:type="dxa" w:w="4320"/>
            <w:shd w:val="clear" w:color="auto" w:fill="EEF3FA"/>
          </w:tcPr>
          <w:p>
            <w:pPr>
              <w:jc w:val="center"/>
            </w:pPr>
            <w:r>
              <w:rPr>
                <w:sz w:val="18"/>
              </w:rPr>
              <w:t>src/utils.py</w:t>
            </w:r>
          </w:p>
        </w:tc>
        <w:tc>
          <w:tcPr>
            <w:tcW w:type="dxa" w:w="4896"/>
            <w:shd w:val="clear" w:color="auto" w:fill="EEF3FA"/>
          </w:tcPr>
          <w:p>
            <w:pPr>
              <w:jc w:val="center"/>
            </w:pPr>
            <w:r>
              <w:rPr>
                <w:sz w:val="18"/>
              </w:rPr>
              <w:t>IQR outlier utilities (compute_iqr_outliers)</w:t>
            </w:r>
          </w:p>
        </w:tc>
      </w:tr>
      <w:tr>
        <w:tc>
          <w:tcPr>
            <w:tcW w:type="dxa" w:w="4320"/>
            <w:shd w:val="clear" w:color="auto" w:fill="FFFFFF"/>
          </w:tcPr>
          <w:p>
            <w:pPr>
              <w:jc w:val="center"/>
            </w:pPr>
            <w:r>
              <w:rPr>
                <w:sz w:val="18"/>
              </w:rPr>
              <w:t>src/eda.py</w:t>
            </w:r>
          </w:p>
        </w:tc>
        <w:tc>
          <w:tcPr>
            <w:tcW w:type="dxa" w:w="4896"/>
            <w:shd w:val="clear" w:color="auto" w:fill="FFFFFF"/>
          </w:tcPr>
          <w:p>
            <w:pPr>
              <w:jc w:val="center"/>
            </w:pPr>
            <w:r>
              <w:rPr>
                <w:sz w:val="18"/>
              </w:rPr>
              <w:t>EDA visualisation module — generates all 6 figures</w:t>
            </w:r>
          </w:p>
        </w:tc>
      </w:tr>
      <w:tr>
        <w:tc>
          <w:tcPr>
            <w:tcW w:type="dxa" w:w="4320"/>
            <w:shd w:val="clear" w:color="auto" w:fill="EEF3FA"/>
          </w:tcPr>
          <w:p>
            <w:pPr>
              <w:jc w:val="center"/>
            </w:pPr>
            <w:r>
              <w:rPr>
                <w:sz w:val="18"/>
              </w:rPr>
              <w:t>notebooks/churn_preprocessing_eda.ipynb</w:t>
            </w:r>
          </w:p>
        </w:tc>
        <w:tc>
          <w:tcPr>
            <w:tcW w:type="dxa" w:w="4896"/>
            <w:shd w:val="clear" w:color="auto" w:fill="EEF3FA"/>
          </w:tcPr>
          <w:p>
            <w:pPr>
              <w:jc w:val="center"/>
            </w:pPr>
            <w:r>
              <w:rPr>
                <w:sz w:val="18"/>
              </w:rPr>
              <w:t>Interactive narrative Jupyter Notebook</w:t>
            </w:r>
          </w:p>
        </w:tc>
      </w:tr>
      <w:tr>
        <w:tc>
          <w:tcPr>
            <w:tcW w:type="dxa" w:w="4320"/>
            <w:shd w:val="clear" w:color="auto" w:fill="FFFFFF"/>
          </w:tcPr>
          <w:p>
            <w:pPr>
              <w:jc w:val="center"/>
            </w:pPr>
            <w:r>
              <w:rPr>
                <w:sz w:val="18"/>
              </w:rPr>
              <w:t>data/raw/customer_churn_raw.csv</w:t>
            </w:r>
          </w:p>
        </w:tc>
        <w:tc>
          <w:tcPr>
            <w:tcW w:type="dxa" w:w="4896"/>
            <w:shd w:val="clear" w:color="auto" w:fill="FFFFFF"/>
          </w:tcPr>
          <w:p>
            <w:pPr>
              <w:jc w:val="center"/>
            </w:pPr>
            <w:r>
              <w:rPr>
                <w:sz w:val="18"/>
              </w:rPr>
              <w:t>Raw dataset (1210 rows × 19 cols)</w:t>
            </w:r>
          </w:p>
        </w:tc>
      </w:tr>
      <w:tr>
        <w:tc>
          <w:tcPr>
            <w:tcW w:type="dxa" w:w="4320"/>
            <w:shd w:val="clear" w:color="auto" w:fill="EEF3FA"/>
          </w:tcPr>
          <w:p>
            <w:pPr>
              <w:jc w:val="center"/>
            </w:pPr>
            <w:r>
              <w:rPr>
                <w:sz w:val="18"/>
              </w:rPr>
              <w:t>data/processed/customer_churn_processed.csv</w:t>
            </w:r>
          </w:p>
        </w:tc>
        <w:tc>
          <w:tcPr>
            <w:tcW w:type="dxa" w:w="4896"/>
            <w:shd w:val="clear" w:color="auto" w:fill="EEF3FA"/>
          </w:tcPr>
          <w:p>
            <w:pPr>
              <w:jc w:val="center"/>
            </w:pPr>
            <w:r>
              <w:rPr>
                <w:sz w:val="18"/>
              </w:rPr>
              <w:t>Processed dataset (1200 rows × 23 cols)</w:t>
            </w:r>
          </w:p>
        </w:tc>
      </w:tr>
      <w:tr>
        <w:tc>
          <w:tcPr>
            <w:tcW w:type="dxa" w:w="4320"/>
            <w:shd w:val="clear" w:color="auto" w:fill="FFFFFF"/>
          </w:tcPr>
          <w:p>
            <w:pPr>
              <w:jc w:val="center"/>
            </w:pPr>
            <w:r>
              <w:rPr>
                <w:sz w:val="18"/>
              </w:rPr>
              <w:t>outputs/figures/</w:t>
            </w:r>
          </w:p>
        </w:tc>
        <w:tc>
          <w:tcPr>
            <w:tcW w:type="dxa" w:w="4896"/>
            <w:shd w:val="clear" w:color="auto" w:fill="FFFFFF"/>
          </w:tcPr>
          <w:p>
            <w:pPr>
              <w:jc w:val="center"/>
            </w:pPr>
            <w:r>
              <w:rPr>
                <w:sz w:val="18"/>
              </w:rPr>
              <w:t>6 EDA and preprocessing visualisation PNGs</w:t>
            </w:r>
          </w:p>
        </w:tc>
      </w:tr>
      <w:tr>
        <w:tc>
          <w:tcPr>
            <w:tcW w:type="dxa" w:w="4320"/>
            <w:shd w:val="clear" w:color="auto" w:fill="EEF3FA"/>
          </w:tcPr>
          <w:p>
            <w:pPr>
              <w:jc w:val="center"/>
            </w:pPr>
            <w:r>
              <w:rPr>
                <w:sz w:val="18"/>
              </w:rPr>
              <w:t>requirements.txt</w:t>
            </w:r>
          </w:p>
        </w:tc>
        <w:tc>
          <w:tcPr>
            <w:tcW w:type="dxa" w:w="4896"/>
            <w:shd w:val="clear" w:color="auto" w:fill="EEF3FA"/>
          </w:tcPr>
          <w:p>
            <w:pPr>
              <w:jc w:val="center"/>
            </w:pPr>
            <w:r>
              <w:rPr>
                <w:sz w:val="18"/>
              </w:rPr>
              <w:t>Python dependency list</w:t>
            </w:r>
          </w:p>
        </w:tc>
      </w:tr>
      <w:tr>
        <w:tc>
          <w:tcPr>
            <w:tcW w:type="dxa" w:w="4320"/>
            <w:shd w:val="clear" w:color="auto" w:fill="FFFFFF"/>
          </w:tcPr>
          <w:p>
            <w:pPr>
              <w:jc w:val="center"/>
            </w:pPr>
            <w:r>
              <w:rPr>
                <w:sz w:val="18"/>
              </w:rPr>
              <w:t>README.md</w:t>
            </w:r>
          </w:p>
        </w:tc>
        <w:tc>
          <w:tcPr>
            <w:tcW w:type="dxa" w:w="4896"/>
            <w:shd w:val="clear" w:color="auto" w:fill="FFFFFF"/>
          </w:tcPr>
          <w:p>
            <w:pPr>
              <w:jc w:val="center"/>
            </w:pPr>
            <w:r>
              <w:rPr>
                <w:sz w:val="18"/>
              </w:rPr>
              <w:t>Project documentation and setup guide</w:t>
            </w:r>
          </w:p>
        </w:tc>
      </w:tr>
    </w:tbl>
    <w:p/>
    <w:p>
      <w:r>
        <w:rPr>
          <w:color w:val="1C1C2E"/>
          <w:sz w:val="20"/>
        </w:rPr>
        <w:t>GitHub Repository: https://github.com/shreyas04100/ai2</w:t>
      </w:r>
    </w:p>
    <w:p>
      <w:r>
        <w:rPr>
          <w:color w:val="1C1C2E"/>
          <w:sz w:val="20"/>
        </w:rPr>
        <w:t>All file paths in the codebase are relative to the project root directory, ensuring the project runs correctly from any machine after cloning the repository.</w:t>
      </w:r>
    </w:p>
    <w:p/>
    <w:p>
      <w:pPr>
        <w:pStyle w:val="Heading1"/>
        <w:jc w:val="left"/>
      </w:pPr>
      <w:r>
        <w:rPr>
          <w:color w:val="1A355E"/>
        </w:rPr>
        <w:t>13. Conclusion</w:t>
      </w:r>
    </w:p>
    <w:p>
      <w:r>
        <w:rPr>
          <w:color w:val="1C1C2E"/>
          <w:sz w:val="20"/>
        </w:rPr>
        <w:t>This project provides a complete, well-documented demonstration of Python-based machine learning data preprocessing. Starting from a raw synthetic dataset with intentionally injected quality issues, a modular seven-stage preprocessing pipeline was developed using Pandas, NumPy, and scikit-learn.</w:t>
      </w:r>
    </w:p>
    <w:p/>
    <w:p>
      <w:r>
        <w:rPr>
          <w:color w:val="1C1C2E"/>
          <w:sz w:val="20"/>
        </w:rPr>
        <w:t>The pipeline addressed 120 missing or invalid cells (93 explicit NaN, 25 blank TotalCharges strings, and 2 invalid negative values), removed 10 duplicate rows, and handled 5 anomalous numerical values (2 corrected to NaN and imputed; 3 IQR-capped). Memory footprint was reduced from ~1.12 MB to ~0.21 MB (~81.1% reduction) through dtype optimisation.</w:t>
      </w:r>
    </w:p>
    <w:p/>
    <w:p>
      <w:r>
        <w:rPr>
          <w:color w:val="1C1C2E"/>
          <w:sz w:val="20"/>
        </w:rPr>
        <w:t>The exploratory analysis confirmed expected business insights: month-to-month contract customers and fibre optic internet users are significantly more likely to churn. These findings validate the synthetic data generation logic and provide actionable context for future predictive modelling.</w:t>
      </w:r>
    </w:p>
    <w:p/>
    <w:p>
      <w:r>
        <w:rPr>
          <w:color w:val="1C1C2E"/>
          <w:sz w:val="20"/>
        </w:rPr>
        <w:t>The final processed dataset (1200 rows × 23 columns, Churn: 439 churned / 761 non-churned) is suitable as a preprocessed input for downstream machine learning tasks including binary classification models such as Logistic Regression, Random Forest, and Gradient Boosting.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