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Admin Branding Configuration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Sequence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autonumber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actor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Page as Branding Configuration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API as 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CFG as Configuration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DB as Database/Config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Admin-&gt;&gt;Page: Open admin branding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Page-&gt;&gt;API: GET /api/branding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API-&gt;&gt;CFG: readBranding()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CFG-&gt;&gt;DB: Read config/branding.json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DB--&gt;&gt;CFG: Branding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CFG--&gt;&gt;API: Branding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API--&gt;&gt;Page: Current branding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Admin-&gt;&gt;Page: Upload logo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Admin-&gt;&gt;Page: Select avatar/guide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Admin-&gt;&gt;Page: Edit school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Admin-&gt;&gt;Page: Edit caption/tagline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Page-&gt;&gt;API: POST /api/admin/school-branding + setupPin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API-&gt;&gt;CFG: Validate setup PIN + normalize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CFG-&gt;&gt;DB: Save branding fields and logo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DB--&gt;&gt;CFG: Persist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CFG--&gt;&gt;API: Updated branding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API--&gt;&gt;Page: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Page-&gt;&gt;API: POST /api/admin/ai-assistants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Save default assistant id (ai-assistants.json)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Persist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API--&gt;&gt;Page: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Page--&gt;&gt;Page: Refresh dashboard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Page--&gt;&gt;Admin: Updated branding appears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branding is configuration-driven rather than code-driven. The admin page reads and writes branding through secured API endpoints (`setupPin` protected), which update branding JSON, logo assets, and assistant defaults. The UI refreshes immediately after successful saves.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requests provide valid `setupPin` for protected branding writes.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Branding persistence is file-backed (`config/branding.json`, `config/ai-assistants.json`) and loaded by API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Logo upload uses multipart form data (`/api/admin/school-branding`).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Avatar selection for student-facing guide is managed via assistant config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Demo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that school personalization requires no code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Emphasize governance via setup PIN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 logo + text + guide updates in one admin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Highlight immediate visual propagation to student/portal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Presenter Notes (Saturday Demo)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 the admin page first to establish control-plane capability.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 school name/tagline live and save to show configuration round-trip.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a logo and confirm it renders in student header.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Conclude by switching default guide and showing student-side effect.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