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High-Level System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Architecture 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subgraph Channels[Experience Channels]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SU[Student UI]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MD[Mentor Dashboard]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ABP[Admin Branding Portal]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subgraph API[Backend API Layer]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APIGW[Express API Routes]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subgraph Services[Domain Services]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AUTH[Authentication Service]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LP[Learning Path Service]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CONTENT[Content Service]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FEEDBACK[Feedback Service]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BRANDING[Branding Service]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DB[(SQLite Database)]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CFG[(Config/JSON Stores)]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SU --&gt; APIGW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MD --&gt; APIGW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ABP --&gt; APIGW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APIGW --&gt;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APIGW --&gt; LP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APIGW --&gt;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APIGW --&gt;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APIGW --&gt; BRANDING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AUTH --&gt; 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LP --&gt; 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FEEDBACK --&gt; 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CONTENT --&gt; CFG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BRANDING --&gt; CFG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LP --&gt; CFG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platform uses a single backend API layer (Express) that serves all channels: student, mentor, and admin. Core learner data (progress, sessions, feedback, assignments) persists in SQLite. Curriculum and branding are configuration-centric, sourced from JSON/config artifacts and exposed through API endpoints for runtime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SQLite is the system of record for learner progress, assessment attempts, and feedback.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Curriculum content (`published/Grade_6/...`) is treated as Content Service input.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Branding and assistant defaults are managed as configuration assets.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layer is the sole integration boundary for UI clients.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Demo Talking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API layer supports three personas with clear responsibility boundaries.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Configuration-driven architecture enables rapid curriculum and branding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Persistent learner telemetry in SQLite enables analytics and mentor oversight.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model is deployment-light and demo-friendly without microservice overhead.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Presenter Notes (Saturday Demo)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from channels to business value (student, mentor, admin).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Explain API layer as governance/control 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Distinguish "stateful learner data" (SQLite) from "editable configuration" (JSON stores).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Position this architecture as scalable by service extraction when needed.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