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02E47"/>
          <w:sz w:val="40"/>
        </w:rPr>
        <w:t>Bruker TopSpin 5.0.0 Replica</w:t>
        <w:br/>
        <w:t>Weekly Accomplishments &amp; Architecture Report</w:t>
      </w:r>
    </w:p>
    <w:p>
      <w:pPr>
        <w:spacing w:after="480"/>
      </w:pPr>
      <w:r>
        <w:rPr>
          <w:b/>
        </w:rPr>
        <w:t xml:space="preserve">Project Name: </w:t>
      </w:r>
      <w:r>
        <w:t>NMR Spectral Visualizer</w:t>
        <w:br/>
      </w:r>
      <w:r>
        <w:rPr>
          <w:b/>
        </w:rPr>
        <w:t xml:space="preserve">Date Range: </w:t>
      </w:r>
      <w:r>
        <w:t>Monday, June 29 - Friday, July 3, 2026</w:t>
        <w:br/>
      </w:r>
    </w:p>
    <w:p>
      <w:pPr>
        <w:spacing w:before="360" w:after="160"/>
      </w:pPr>
      <w:r>
        <w:rPr>
          <w:rFonts w:ascii="Arial" w:hAnsi="Arial"/>
          <w:b/>
          <w:color w:val="002E47"/>
          <w:sz w:val="28"/>
        </w:rPr>
        <w:t>1. High-Level Summary of Weekly Accomplishments</w:t>
      </w:r>
    </w:p>
    <w:p>
      <w:pPr>
        <w:spacing w:after="240"/>
      </w:pPr>
      <w:r>
        <w:t>This week, we transformed the NMR Spectral Visualizer from a basic 2D/3D plot viewer into a highly functional, interactive desktop replica of Bruker TopSpin 5.0.0. The interface and backend now simulate the standard NMR data acquisition, processing, and visualization workflow.</w:t>
      </w:r>
    </w:p>
    <w:p>
      <w:pPr>
        <w:spacing w:before="240" w:after="120"/>
      </w:pPr>
      <w:r>
        <w:rPr>
          <w:rFonts w:ascii="Arial" w:hAnsi="Arial"/>
          <w:b/>
          <w:color w:val="081D2C"/>
          <w:sz w:val="24"/>
        </w:rPr>
        <w:t>Key Milestones Completed:</w:t>
      </w:r>
    </w:p>
    <w:p>
      <w:pPr>
        <w:pStyle w:val="ListBullet"/>
        <w:spacing w:after="60"/>
      </w:pPr>
      <w:r>
        <w:rPr>
          <w:b/>
        </w:rPr>
        <w:t xml:space="preserve">Advanced 2D/3D Viewports: </w:t>
      </w:r>
      <w:r>
        <w:t>Supported loading and plotting complex Bruker 2D NMR datasets. Rendered positive/negative contour lines in 2D and projected them as 3D contour lines at height Z proportional to peak intensity.</w:t>
      </w:r>
    </w:p>
    <w:p>
      <w:pPr>
        <w:pStyle w:val="ListBullet"/>
        <w:spacing w:after="60"/>
      </w:pPr>
      <w:r>
        <w:rPr>
          <w:b/>
        </w:rPr>
        <w:t xml:space="preserve">TopSpin Tabbed Ribbon (Two-Row Navigation): </w:t>
      </w:r>
      <w:r>
        <w:t>Implemented main tab navigation (Row 1: Hamburger menu, Process, Analyze, Applications, Manage) and Row 2 CardLayout toolbars, each styled with a distinct premium color scheme merging with the active tab button.</w:t>
      </w:r>
    </w:p>
    <w:p>
      <w:pPr>
        <w:pStyle w:val="ListBullet"/>
        <w:spacing w:after="60"/>
      </w:pPr>
      <w:r>
        <w:rPr>
          <w:b/>
        </w:rPr>
        <w:t xml:space="preserve">1D FID Viewport &amp; Phasing Interactivity: </w:t>
      </w:r>
      <w:r>
        <w:t>Added a split-pane layout containing a mathematical simulation of a 1D complex decaying Free Induction Decay (FID) wave, updating in real-time (60 FPS) when zero-order and first-order phase sliders are adjusted.</w:t>
      </w:r>
    </w:p>
    <w:p>
      <w:pPr>
        <w:pStyle w:val="ListBullet"/>
        <w:spacing w:after="60"/>
      </w:pPr>
      <w:r>
        <w:rPr>
          <w:b/>
        </w:rPr>
        <w:t xml:space="preserve">Console Command-Line Prompt: </w:t>
      </w:r>
      <w:r>
        <w:t>Placed a command prompt (TopSpin CMD: &gt;) above the status bar, supporting 30+ console commands (e.g. ft, wm, proc1d, apbk, abs, .ph, .cal) with interactive logs.</w:t>
      </w:r>
    </w:p>
    <w:p>
      <w:pPr>
        <w:pStyle w:val="ListBullet"/>
        <w:spacing w:after="60"/>
      </w:pPr>
      <w:r>
        <w:rPr>
          <w:b/>
        </w:rPr>
        <w:t xml:space="preserve">Scale &amp; Interaction Toolbar: </w:t>
      </w:r>
      <w:r>
        <w:t>Created a light steel-blue secondary toolbar below the main ribbon containing 15 spectral scaling and viewport toggling tools.</w:t>
      </w:r>
    </w:p>
    <w:p>
      <w:pPr>
        <w:spacing w:before="360" w:after="160"/>
      </w:pPr>
      <w:r>
        <w:rPr>
          <w:rFonts w:ascii="Arial" w:hAnsi="Arial"/>
          <w:b/>
          <w:color w:val="002E47"/>
          <w:sz w:val="28"/>
        </w:rPr>
        <w:t>2. System Architecture &amp; Components</w:t>
      </w:r>
    </w:p>
    <w:p>
      <w:r>
        <w:t>The application is built on a decoupled client-server architecture:</w:t>
      </w:r>
    </w:p>
    <w:p>
      <w:pPr>
        <w:pStyle w:val="ListBullet"/>
        <w:spacing w:after="60"/>
      </w:pPr>
      <w:r>
        <w:rPr>
          <w:b/>
        </w:rPr>
        <w:t xml:space="preserve">Frontend (Java Swing / JVM): </w:t>
      </w:r>
      <w:r>
        <w:t>Controls the GUI components, rendering panels, split panes, dialogues (Phasing/Calibration), user inputs, keyboard mnemonics, and real-time 1D FID wave calculations.</w:t>
      </w:r>
    </w:p>
    <w:p>
      <w:pPr>
        <w:pStyle w:val="ListBullet"/>
        <w:spacing w:after="60"/>
      </w:pPr>
      <w:r>
        <w:rPr>
          <w:b/>
        </w:rPr>
        <w:t xml:space="preserve">Backend (Python / nmr_backend.py): </w:t>
      </w:r>
      <w:r>
        <w:t>Handles heavy mathematical processing, reads Bruker data files, performs 1D/2D Fast Fourier Transforms (FFT), calculates contour segments, and computes baseline polynomial corrections.</w:t>
      </w:r>
    </w:p>
    <w:p>
      <w:pPr>
        <w:pStyle w:val="ListBullet"/>
        <w:spacing w:after="60"/>
      </w:pPr>
      <w:r>
        <w:rPr>
          <w:b/>
        </w:rPr>
        <w:t xml:space="preserve">Data Communication Bridge: </w:t>
      </w:r>
      <w:r>
        <w:t>Pipes JSON configurations over standard input/output streams between Java and the Python subprocess.</w:t>
      </w:r>
    </w:p>
    <w:p>
      <w:pPr>
        <w:spacing w:before="240" w:after="120"/>
      </w:pPr>
      <w:r>
        <w:rPr>
          <w:rFonts w:ascii="Arial" w:hAnsi="Arial"/>
          <w:b/>
          <w:color w:val="081D2C"/>
          <w:sz w:val="24"/>
        </w:rPr>
        <w:t>System Component Architecture Diagram (Mermaid Source):</w:t>
      </w:r>
    </w:p>
    <w:p>
      <w:pPr>
        <w:spacing w:after="240"/>
        <w:ind w:left="720"/>
      </w:pPr>
      <w:r>
        <w:rPr>
          <w:rFonts w:ascii="Courier New" w:hAnsi="Courier New"/>
          <w:sz w:val="19"/>
        </w:rPr>
        <w:t>graph TD</w:t>
        <w:br/>
        <w:t xml:space="preserve">    subgraph "Java Client (JVM)"</w:t>
        <w:br/>
        <w:t xml:space="preserve">        GUI[TopSpin GUI Client]</w:t>
        <w:br/>
        <w:t xml:space="preserve">        FidPlot[1D FID Real-Time Plot]</w:t>
        <w:br/>
        <w:t xml:space="preserve">        Plot2D[2D Contour Plot]</w:t>
        <w:br/>
        <w:t xml:space="preserve">        Plot3D[3D Projected Contour Plot]</w:t>
        <w:br/>
        <w:t xml:space="preserve">    end</w:t>
        <w:br/>
        <w:t xml:space="preserve">    subgraph "Data Bridge"</w:t>
        <w:br/>
        <w:t xml:space="preserve">        JavaPipe[Java Process Output Stream] --&gt;|JSON Configuration| PythonStdin[Python Stdin Reader]</w:t>
        <w:br/>
        <w:t xml:space="preserve">        PythonStdout[Python Stdout Writer] --&gt;|JSON Coordinates &amp; Peaks| JavaReader[Java Input Stream Reader]</w:t>
        <w:br/>
        <w:t xml:space="preserve">    end</w:t>
        <w:br/>
        <w:t xml:space="preserve">    subgraph "Python Backend Service"</w:t>
        <w:br/>
        <w:t xml:space="preserve">        Engine[nmr_backend.py Engine]</w:t>
        <w:br/>
        <w:t xml:space="preserve">        IO[NMRGlue Reader]</w:t>
        <w:br/>
        <w:t xml:space="preserve">        Calc[FFT / Phasing / Baseline / Calibrate]</w:t>
        <w:br/>
        <w:t xml:space="preserve">        Contours[Matplotlib Contour Coordinate Extractor]</w:t>
        <w:br/>
        <w:t xml:space="preserve">    end</w:t>
        <w:br/>
        <w:t xml:space="preserve">    GUI --&gt; FidPlot</w:t>
        <w:br/>
        <w:t xml:space="preserve">    GUI --&gt;|Subprocess Launch| JavaPipe</w:t>
        <w:br/>
        <w:t xml:space="preserve">    JavaReader --&gt;|Repaint Triggers| GUI</w:t>
        <w:br/>
        <w:t xml:space="preserve">    PythonStdin --&gt; Engine</w:t>
        <w:br/>
        <w:t xml:space="preserve">    Engine --&gt; IO</w:t>
        <w:br/>
        <w:t xml:space="preserve">    Engine --&gt; Calc</w:t>
        <w:br/>
        <w:t xml:space="preserve">    Engine --&gt; Contours</w:t>
        <w:br/>
        <w:t xml:space="preserve">    Contours --&gt; PythonStdout</w:t>
      </w:r>
    </w:p>
    <w:p>
      <w:pPr>
        <w:spacing w:before="360" w:after="160"/>
      </w:pPr>
      <w:r>
        <w:rPr>
          <w:rFonts w:ascii="Arial" w:hAnsi="Arial"/>
          <w:b/>
          <w:color w:val="002E47"/>
          <w:sz w:val="28"/>
        </w:rPr>
        <w:t>3. Operations Workflow</w:t>
      </w:r>
    </w:p>
    <w:p>
      <w:r>
        <w:t>The workflow below outlines how user actions flow from the main toolbar ribbon, update parameters, execute Python operations, and repaint visualizers:</w:t>
      </w:r>
    </w:p>
    <w:p>
      <w:pPr>
        <w:spacing w:before="240" w:after="120"/>
      </w:pPr>
      <w:r>
        <w:rPr>
          <w:rFonts w:ascii="Arial" w:hAnsi="Arial"/>
          <w:b/>
          <w:color w:val="081D2C"/>
          <w:sz w:val="24"/>
        </w:rPr>
        <w:t>Data Processing Sequence (Mermaid Source):</w:t>
      </w:r>
    </w:p>
    <w:p>
      <w:pPr>
        <w:spacing w:after="240"/>
        <w:ind w:left="720"/>
      </w:pPr>
      <w:r>
        <w:rPr>
          <w:rFonts w:ascii="Courier New" w:hAnsi="Courier New"/>
          <w:sz w:val="19"/>
        </w:rPr>
        <w:t>sequenceDiagram</w:t>
        <w:br/>
        <w:t xml:space="preserve">    autonumber</w:t>
        <w:br/>
        <w:t xml:space="preserve">    actor User</w:t>
        <w:br/>
        <w:t xml:space="preserve">    participant GUI as NmrVisualizer (Java)</w:t>
        <w:br/>
        <w:t xml:space="preserve">    participant Fid as NmrFidPlot (Java)</w:t>
        <w:br/>
        <w:t xml:space="preserve">    participant Sub as Subprocess (Python)</w:t>
        <w:br/>
        <w:t xml:space="preserve">    participant Plot as Spectral Plot Panels</w:t>
        <w:br/>
        <w:br/>
        <w:t xml:space="preserve">    User-&gt;&gt;GUI: Adjust Phase Slider (phc0 / phc1)</w:t>
        <w:br/>
        <w:t xml:space="preserve">    loop Continuous Drag (60 FPS)</w:t>
        <w:br/>
        <w:t xml:space="preserve">        GUI-&gt;&gt;Fid: Recalculate Phased Sine Waves</w:t>
        <w:br/>
        <w:t xml:space="preserve">        Fid-&gt;&gt;User: Render Phased 1D FID Repaint</w:t>
        <w:br/>
        <w:t xml:space="preserve">    end</w:t>
        <w:br/>
        <w:t xml:space="preserve">    User-&gt;&gt;GUI: Release Slider (Apply Phase)</w:t>
        <w:br/>
        <w:t xml:space="preserve">    GUI-&gt;&gt;Sub: Pipe JSON Config: {"phc0_f2": X, "phc1_f2": Y}</w:t>
        <w:br/>
        <w:t xml:space="preserve">    activate Sub</w:t>
        <w:br/>
        <w:t xml:space="preserve">    Sub-&gt;&gt;Sub: Read Bruker Data &amp; Apply Complex Phase Rotation</w:t>
        <w:br/>
        <w:t xml:space="preserve">    Sub-&gt;&gt;Sub: Re-calculate 2D Contours &amp; Peaks</w:t>
        <w:br/>
        <w:t xml:space="preserve">    Sub--&gt;&gt;GUI: Stream JSON Response (Coordinates list)</w:t>
        <w:br/>
        <w:t xml:space="preserve">    deactivate Sub</w:t>
        <w:br/>
        <w:t xml:space="preserve">    GUI-&gt;&gt;Plot: Load Coordinates &amp; Clear Old Peaks</w:t>
        <w:br/>
        <w:t xml:space="preserve">    Plot-&gt;&gt;User: Redraw 2D Contours &amp; 3D Projections</w:t>
      </w:r>
    </w:p>
    <w:p>
      <w:pPr>
        <w:spacing w:before="360" w:after="160"/>
      </w:pPr>
      <w:r>
        <w:rPr>
          <w:rFonts w:ascii="Arial" w:hAnsi="Arial"/>
          <w:b/>
          <w:color w:val="002E47"/>
          <w:sz w:val="28"/>
        </w:rPr>
        <w:t>4. Tabbed Ribbon Swap Structure</w:t>
      </w:r>
    </w:p>
    <w:p>
      <w:r>
        <w:t>Each main tab selected in Row 1 corresponds to a unique color theme and card container in Row 2:</w:t>
      </w:r>
    </w:p>
    <w:p>
      <w:pPr>
        <w:spacing w:before="240" w:after="120"/>
      </w:pPr>
      <w:r>
        <w:rPr>
          <w:rFonts w:ascii="Arial" w:hAnsi="Arial"/>
          <w:b/>
          <w:color w:val="081D2C"/>
          <w:sz w:val="24"/>
        </w:rPr>
        <w:t>Tab Ribbon Color Themes &amp; Cards (Mermaid Source):</w:t>
      </w:r>
    </w:p>
    <w:p>
      <w:pPr>
        <w:spacing w:after="240"/>
        <w:ind w:left="720"/>
      </w:pPr>
      <w:r>
        <w:rPr>
          <w:rFonts w:ascii="Courier New" w:hAnsi="Courier New"/>
          <w:sz w:val="19"/>
        </w:rPr>
        <w:t>graph TD</w:t>
        <w:br/>
        <w:t xml:space="preserve">    TabRow[Row 1 Tab Navigation] --&gt;|Click Tab| CardLayout[CardLayout Toolbar Swapper]</w:t>
        <w:br/>
        <w:t xml:space="preserve">    CardLayout --&gt;|Process Selected| CardP[Process Toolbar - Slate-Blue #002e47]</w:t>
        <w:br/>
        <w:t xml:space="preserve">    CardLayout --&gt;|Analyze Selected| CardA[Analyze Toolbar - Deep Indigo #081d2c]</w:t>
        <w:br/>
        <w:t xml:space="preserve">    CardLayout --&gt;|Applications Selected| CardAp[Applications Toolbar - Deep Forest Teal #0a332d]</w:t>
        <w:br/>
        <w:t xml:space="preserve">    CardLayout --&gt;|Manage Selected| CardM[Manage Toolbar - Deep Blackberry #2b1b24]</w:t>
        <w:br/>
        <w:t xml:space="preserve">    CardP --&gt;|Merge Tab Color| TabP[Process Tab Selected: #002e47]</w:t>
        <w:br/>
        <w:t xml:space="preserve">    CardA --&gt;|Merge Tab Color| TabA[Analyze Tab Selected: #081d2c]</w:t>
        <w:br/>
        <w:t xml:space="preserve">    CardAp --&gt;|Merge Tab Color| TabAp[Applications Tab Selected: #0a332d]</w:t>
        <w:br/>
        <w:t xml:space="preserve">    CardM --&gt;|Merge Tab Color| TabM[Manage Tab Selected: #2b1b24]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