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CryptoShift</w:t>
      </w:r>
    </w:p>
    <w:p>
      <w:pPr>
        <w:pStyle w:val="Subtitle"/>
      </w:pPr>
      <w:r>
        <w:t>A beginner guide to post-quantum cryptography and our verification-gated migration project</w:t>
      </w:r>
    </w:p>
    <w:p>
      <w:r>
        <w:t>Quant-A-Maze 3.0 | PQC-01 | Team guide for mentors, builders, and evaluators</w:t>
      </w:r>
    </w:p>
    <w:p>
      <w:r>
        <w:t>Purpose: explain the quantum threat in plain language, show what a banking application must change, and define a credible 36-hour prototype that discovers cryptographic usage, plans migration, and proves each proposed change with evidence.</w:t>
      </w:r>
    </w:p>
    <w:p>
      <w:r>
        <w:t>Prepared for the CryptoShift team | Concept and implementation guide</w:t>
      </w:r>
    </w:p>
    <w:p>
      <w:r/>
    </w:p>
    <w:p>
      <w:pPr>
        <w:pStyle w:val="Heading1"/>
      </w:pPr>
      <w:r>
        <w:t>How to use this guide</w:t>
      </w:r>
    </w:p>
    <w:p>
      <w:r>
        <w:t>Read the first five chapters if you need the concepts before a mentor meeting. Read Chapters 6 through 12 to understand the product, architecture, evidence, and evaluation. Chapters 13 through 17 translate the plan into a hackathon build, a short mentor explanation, and a glossary. The final references point to the primary standards and migration work used to ground the explanation.</w:t>
      </w:r>
    </w:p>
    <w:p>
      <w:r>
        <w:t>The project is a prototype. We distinguish what the team has built and measured from what it proposes. Sample repositories, generated banking examples, and demo traces must be labelled accurately. A demo proves a workflow; it is not evidence of production readiness.</w:t>
      </w:r>
    </w:p>
    <w:p>
      <w:pPr>
        <w:pStyle w:val="Heading1"/>
      </w:pPr>
      <w:r>
        <w:t>Contents</w:t>
      </w:r>
    </w:p>
    <w:p>
      <w:r>
        <w:t>1. Executive summary</w:t>
      </w:r>
    </w:p>
    <w:p>
      <w:r>
        <w:t>2. Why cryptography is part of ordinary banking</w:t>
      </w:r>
    </w:p>
    <w:p>
      <w:r>
        <w:t>3. The basic cryptography toolbox</w:t>
      </w:r>
    </w:p>
    <w:p>
      <w:r>
        <w:t>4. What quantum computers change</w:t>
      </w:r>
    </w:p>
    <w:p>
      <w:r>
        <w:t>5. What post-quantum cryptography means</w:t>
      </w:r>
    </w:p>
    <w:p>
      <w:r>
        <w:t>6. Migration is a system problem</w:t>
      </w:r>
    </w:p>
    <w:p>
      <w:r>
        <w:t>7. The CryptoShift proposal</w:t>
      </w:r>
    </w:p>
    <w:p>
      <w:r>
        <w:t>8. How the prototype works end to end</w:t>
      </w:r>
    </w:p>
    <w:p>
      <w:r>
        <w:t>9. Inventory and cryptographic evidence</w:t>
      </w:r>
    </w:p>
    <w:p>
      <w:r>
        <w:t>10. Dependency-aware migration planning</w:t>
      </w:r>
    </w:p>
    <w:p>
      <w:r>
        <w:t>11. Verification gates and protocol traces</w:t>
      </w:r>
    </w:p>
    <w:p>
      <w:r>
        <w:t>12. Data, labels, and honest evaluation</w:t>
      </w:r>
    </w:p>
    <w:p>
      <w:r>
        <w:t>13. QpiAI tools and responsible use</w:t>
      </w:r>
    </w:p>
    <w:p>
      <w:r>
        <w:t>14. A realistic 36-hour team plan</w:t>
      </w:r>
    </w:p>
    <w:p>
      <w:r>
        <w:t>15. Risks, boundaries, and claims</w:t>
      </w:r>
    </w:p>
    <w:p>
      <w:r>
        <w:t>16. Mentor explanation and live demo</w:t>
      </w:r>
    </w:p>
    <w:p>
      <w:r>
        <w:t>17. Glossary</w:t>
      </w:r>
    </w:p>
    <w:p>
      <w:r>
        <w:t>18. References</w:t>
      </w:r>
    </w:p>
    <w:p>
      <w:r/>
    </w:p>
    <w:p>
      <w:pPr>
        <w:pStyle w:val="Heading1"/>
      </w:pPr>
      <w:r>
        <w:t>1. Executive summary</w:t>
      </w:r>
    </w:p>
    <w:p>
      <w:r>
        <w:t>CryptoShift is a decision-support prototype for planning cryptographic migration in a banking software estate. Its central idea is simple: before changing cryptography, find where it is used; before selecting a replacement, understand what the operation does and what depends on it; before calling the migration successful, verify behavior and preserve a tested rollback path.</w:t>
      </w:r>
    </w:p>
    <w:p>
      <w:r>
        <w:t>The project addresses a real operational challenge. Public-key cryptography is embedded across source code, libraries, certificates, TLS endpoints, identity systems, payment integrations, signing pipelines, vendor products, and configuration. Some uses are obvious, such as an RSA key declaration. Others are indirect: a framework default, a transitive dependency, a certificate profile, or a remote service that owns its implementation. A line-by-line search can find clues but cannot establish a complete inventory.</w:t>
      </w:r>
    </w:p>
    <w:p>
      <w:r>
        <w:t>Large-scale quantum computers do not currently exist as a practical capability that can break widely deployed public-key systems. The concern is forward-looking and strategic. A future sufficiently capable quantum computer could threaten widely used RSA and elliptic-curve public-key cryptography. Data captured now may remain sensitive for years, so an adversary could collect encrypted traffic and attempt decryption later. Organizations need time to discover exposure, test standards-based alternatives, coordinate dependencies, and migrate safely.</w:t>
      </w:r>
    </w:p>
    <w:p>
      <w:r>
        <w:t>The prototype focuses on a narrow, demonstrable slice. It scans a bounded set of source and configuration files, records evidence and confidence, classifies each finding by cryptographic purpose, produces a dependency-aware migration order, and generates a proposed migration record. It can compare a legacy-style protocol trace with a PQC-capable demonstration trace. Tests evaluate whether the workflow preserved expected behavior, whether the intended algorithm role was selected, what changed in message sizes or timing, and whether rollback instructions are available.</w:t>
      </w:r>
    </w:p>
    <w:p>
      <w:r>
        <w:t>The project does not claim to migrate a real bank, prove cryptographic security, discover every algorithm in every product, or deliver production-ready cryptographic code. Human review remains mandatory. The system recommends and records. Existing, vetted cryptographic libraries and protocol implementations perform cryptographic operations. The prototype should not implement primitives itself.</w:t>
      </w:r>
    </w:p>
    <w:p>
      <w:pPr>
        <w:pStyle w:val="Heading2"/>
      </w:pPr>
      <w:r>
        <w:t>The one-minute description</w:t>
      </w:r>
    </w:p>
    <w:p>
      <w:r>
        <w:t>"CryptoShift helps an engineering team answer four questions before a PQC migration: where is cryptography used, what job is each use performing, what must move first because of dependencies, and how can we verify that a proposed change still works and can be rolled back? We combine static discovery, evidence-backed inventory, dependency planning, and verification gates. The demo uses a small, labelled dataset and a controlled protocol trace; it is a migration-planning aid, not an automatic bank-wide upgrade."</w:t>
      </w:r>
    </w:p>
    <w:p>
      <w:pPr>
        <w:pStyle w:val="Heading2"/>
      </w:pPr>
      <w:r>
        <w:t>The guiding rule</w:t>
      </w:r>
    </w:p>
    <w:p>
      <w:r>
        <w:t>Do not replace an algorithm name in isolation. First identify the purpose, protocol, key lifecycle, data format, endpoint capabilities, compliance constraints, and dependent systems. ML-KEM is for key establishment. ML-DSA and SLH-DSA are signature standards. They solve different jobs and are not interchangeable.</w:t>
      </w:r>
    </w:p>
    <w:p>
      <w:pPr>
        <w:pStyle w:val="Heading1"/>
      </w:pPr>
      <w:r>
        <w:t>2. Why cryptography is part of ordinary banking</w:t>
      </w:r>
    </w:p>
    <w:p>
      <w:pPr>
        <w:pStyle w:val="Heading2"/>
      </w:pPr>
      <w:r>
        <w:t>2.1 The everyday trust problem</w:t>
      </w:r>
    </w:p>
    <w:p>
      <w:r>
        <w:t>A bank must protect information while it travels, show that a request came from an authorized party, detect tampering, and maintain records that can be audited later. Cryptography supplies mathematical tools for those jobs. It does not decide who should have access, whether an account transfer is legitimate, or whether a server has been configured safely. It provides building blocks that security protocols and applications use alongside identity checks, access control, monitoring, and operating procedures.</w:t>
      </w:r>
    </w:p>
    <w:p>
      <w:r>
        <w:t>When a customer opens a banking app, several cryptographic operations may occur. The device checks a server certificate. The parties negotiate a secure session. They derive shared keys. The application encrypts traffic and checks that it was not changed. A bank service may validate a signed token, verify a software package, or sign a payment instruction. Keys may be held in a hardware security module or managed service. Each operation has a purpose and lifecycle.</w:t>
      </w:r>
    </w:p>
    <w:p>
      <w:r>
        <w:t>This explains why migration cannot be limited to replacing a cipher in one source file. An operation might be specified by a protocol, implemented in a library, selected through configuration, backed by a certificate authority, and depended upon by a mobile app or vendor gateway. A change can break interoperability even when the new algorithm is strong.</w:t>
      </w:r>
    </w:p>
    <w:p>
      <w:pPr>
        <w:pStyle w:val="Heading2"/>
      </w:pPr>
      <w:r>
        <w:t>2.2 Four security goals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shd w:fill="17365D"/>
          </w:tcPr>
          <w:p>
            <w:r>
              <w:t>Goal</w:t>
            </w:r>
          </w:p>
        </w:tc>
        <w:tc>
          <w:tcPr>
            <w:tcW w:type="dxa" w:w="3312"/>
            <w:shd w:fill="17365D"/>
          </w:tcPr>
          <w:p>
            <w:r>
              <w:t>Question it answers</w:t>
            </w:r>
          </w:p>
        </w:tc>
        <w:tc>
          <w:tcPr>
            <w:tcW w:type="dxa" w:w="3312"/>
            <w:shd w:fill="17365D"/>
          </w:tcPr>
          <w:p>
            <w:r>
              <w:t>Banking example</w:t>
            </w:r>
          </w:p>
        </w:tc>
      </w:tr>
      <w:tr>
        <w:tc>
          <w:tcPr>
            <w:tcW w:type="dxa" w:w="3312"/>
          </w:tcPr>
          <w:p>
            <w:r>
              <w:t>Confidentiality</w:t>
            </w:r>
          </w:p>
        </w:tc>
        <w:tc>
          <w:tcPr>
            <w:tcW w:type="dxa" w:w="3312"/>
          </w:tcPr>
          <w:p>
            <w:r>
              <w:t>Can an unauthorized party read the information?</w:t>
            </w:r>
          </w:p>
        </w:tc>
        <w:tc>
          <w:tcPr>
            <w:tcW w:type="dxa" w:w="3312"/>
          </w:tcPr>
          <w:p>
            <w:r>
              <w:t>Protect account details sent between app and bank.</w:t>
            </w:r>
          </w:p>
        </w:tc>
      </w:tr>
      <w:tr>
        <w:tc>
          <w:tcPr>
            <w:tcW w:type="dxa" w:w="3312"/>
          </w:tcPr>
          <w:p>
            <w:r>
              <w:t>Integrity</w:t>
            </w:r>
          </w:p>
        </w:tc>
        <w:tc>
          <w:tcPr>
            <w:tcW w:type="dxa" w:w="3312"/>
          </w:tcPr>
          <w:p>
            <w:r>
              <w:t>Can a receiver detect unauthorized changes?</w:t>
            </w:r>
          </w:p>
        </w:tc>
        <w:tc>
          <w:tcPr>
            <w:tcW w:type="dxa" w:w="3312"/>
          </w:tcPr>
          <w:p>
            <w:r>
              <w:t>Detect alteration of a payment instruction.</w:t>
            </w:r>
          </w:p>
        </w:tc>
      </w:tr>
      <w:tr>
        <w:tc>
          <w:tcPr>
            <w:tcW w:type="dxa" w:w="3312"/>
          </w:tcPr>
          <w:p>
            <w:r>
              <w:t>Authentication</w:t>
            </w:r>
          </w:p>
        </w:tc>
        <w:tc>
          <w:tcPr>
            <w:tcW w:type="dxa" w:w="3312"/>
          </w:tcPr>
          <w:p>
            <w:r>
              <w:t>Can a party establish which identity or endpoint it is communicating with?</w:t>
            </w:r>
          </w:p>
        </w:tc>
        <w:tc>
          <w:tcPr>
            <w:tcW w:type="dxa" w:w="3312"/>
          </w:tcPr>
          <w:p>
            <w:r>
              <w:t>Check that the client reached the intended bank service.</w:t>
            </w:r>
          </w:p>
        </w:tc>
      </w:tr>
      <w:tr>
        <w:tc>
          <w:tcPr>
            <w:tcW w:type="dxa" w:w="3312"/>
          </w:tcPr>
          <w:p>
            <w:r>
              <w:t>Non-repudiation / accountability</w:t>
            </w:r>
          </w:p>
        </w:tc>
        <w:tc>
          <w:tcPr>
            <w:tcW w:type="dxa" w:w="3312"/>
          </w:tcPr>
          <w:p>
            <w:r>
              <w:t>Can a verifier check that a key signed a record, subject to key custody and policy?</w:t>
            </w:r>
          </w:p>
        </w:tc>
        <w:tc>
          <w:tcPr>
            <w:tcW w:type="dxa" w:w="3312"/>
          </w:tcPr>
          <w:p>
            <w:r>
              <w:t>Verify a signed software release or audit artifact.</w:t>
            </w:r>
          </w:p>
        </w:tc>
      </w:tr>
    </w:tbl>
    <w:p>
      <w:r/>
    </w:p>
    <w:p>
      <w:r>
        <w:t>These goals overlap in real systems, but they are not synonyms. Encryption mainly addresses confidentiality. A digital signature can support integrity and signer authentication. A message authentication code can support integrity and authentication between parties sharing a secret. Correct key management and trusted identities are essential to all of them.</w:t>
      </w:r>
    </w:p>
    <w:p>
      <w:pPr>
        <w:pStyle w:val="Heading2"/>
      </w:pPr>
      <w:r>
        <w:t>2.3 A concrete example: a secure payment API</w:t>
      </w:r>
    </w:p>
    <w:p>
      <w:r>
        <w:t>Imagine a mobile client calling a payment API. The client first connects to a server. TLS negotiates a session, authenticates the server using certificates, and establishes session keys. Symmetric encryption protects the request and response efficiently. The API checks the customer session and transaction authorization. A separate service may sign settlement records or software artifacts. Some systems use asymmetric cryptography to establish or authenticate; others use pre-shared keys or managed gateways.</w:t>
      </w:r>
    </w:p>
    <w:p>
      <w:r>
        <w:t>A PQC migration may touch certificate issuance and validation, TLS library support, handshake size limits, network appliances, mobile operating-system versions, observability tools, and test environments. The right migration depends on whether the use is key establishment, signature validation, code signing, or something else. It also depends on the system boundary: a bank may control its service but not a customer device or external payment network.</w:t>
      </w:r>
    </w:p>
    <w:p>
      <w:pPr>
        <w:pStyle w:val="Heading2"/>
      </w:pPr>
      <w:r>
        <w:t>2.4 Why cryptographic context matters</w:t>
      </w:r>
    </w:p>
    <w:p>
      <w:r>
        <w:t>The same algorithm family can appear for different purposes, and the same purpose can be implemented through different APIs. RSA might be used to establish a key in a legacy protocol, verify a certificate signature, or sign a file. Elliptic-curve algorithms may support key agreement or digital signatures. A scanner that sees only "RSA" cannot tell which replacement is appropriate.</w:t>
      </w:r>
    </w:p>
    <w:p>
      <w:r>
        <w:t>CryptoShift records a purpose hypothesis separately from the algorithm clue. For every finding, the inventory says what evidence was found, where it was found, which application or repository owns it, whether the purpose is known or inferred, confidence, and what a human must validate. A report that admits "unknown purpose" is more useful than a confident but incorrect recommendation.</w:t>
      </w:r>
    </w:p>
    <w:p>
      <w:pPr>
        <w:pStyle w:val="Heading1"/>
      </w:pPr>
      <w:r>
        <w:t>3. The basic cryptography toolbox</w:t>
      </w:r>
    </w:p>
    <w:p>
      <w:pPr>
        <w:pStyle w:val="Heading2"/>
      </w:pPr>
      <w:r>
        <w:t>3.1 Symmetric cryptography</w:t>
      </w:r>
    </w:p>
    <w:p>
      <w:r>
        <w:t>Symmetric cryptography uses the same secret key, or closely related secret keys, to protect and recover information. An authenticated-encryption algorithm such as AES-GCM can encrypt data and detect tampering. Both parties need a way to obtain the secret key securely. Symmetric algorithms are generally efficient and process large amounts of data quickly, which is why they protect the bulk of a network session or stored data.</w:t>
      </w:r>
    </w:p>
    <w:p>
      <w:r>
        <w:t>The key distribution problem is the difficult part. If two strangers have never met, how do they get the same secret without an eavesdropper learning it? Public-key cryptography helps establish or protect the secret, after which symmetric cryptography handles the data. This hybrid design is common: asymmetric operations are used during setup, then symmetric keys protect the stream.</w:t>
      </w:r>
    </w:p>
    <w:p>
      <w:pPr>
        <w:pStyle w:val="Heading2"/>
      </w:pPr>
      <w:r>
        <w:t>3.2 Public-key cryptography</w:t>
      </w:r>
    </w:p>
    <w:p>
      <w:r>
        <w:t>Public-key cryptography uses a related public key and private key. The public key may be distributed; the private key must remain protected. The relationship is mathematical, but it should be computationally infeasible for an attacker to derive the private key from the public key when the scheme is used correctly and the underlying problem remains hard.</w:t>
      </w:r>
    </w:p>
    <w:p>
      <w:r>
        <w:t>In key establishment, two parties use public information and secret material to arrive at a shared session key. In digital signatures, a signer uses a private signing key to produce a signature, and anyone with the public key can check whether the signature corresponds to the signed message. These are distinct functions. A KEM does not sign a payment record; a signature algorithm does not by itself create the shared traffic key used to encrypt a TLS session.</w:t>
      </w:r>
    </w:p>
    <w:p>
      <w:pPr>
        <w:pStyle w:val="Heading2"/>
      </w:pPr>
      <w:r>
        <w:t>3.3 Hash functions and MACs</w:t>
      </w:r>
    </w:p>
    <w:p>
      <w:r>
        <w:t>A cryptographic hash function maps data of arbitrary length to a fixed-size digest. A secure hash is designed so it is difficult to find two inputs with the same digest or reconstruct an input from its digest. Hashes are used in signatures, integrity structures, and many protocols. A hash alone does not prove who created a message because anyone can compute it.</w:t>
      </w:r>
    </w:p>
    <w:p>
      <w:r>
        <w:t>A message authentication code, or MAC, uses a shared secret to authenticate data and detect tampering. Since both parties know the secret, a MAC does not provide the same public verification property as a digital signature. The choice among hash, MAC, and signature is about the security property and trust model required.</w:t>
      </w:r>
    </w:p>
    <w:p>
      <w:pPr>
        <w:pStyle w:val="Heading2"/>
      </w:pPr>
      <w:r>
        <w:t>3.4 Certificates and trust chains</w:t>
      </w:r>
    </w:p>
    <w:p>
      <w:r>
        <w:t>A certificate binds a public key to an identity according to a certificate authority's rules. A client validates a chain of certificates, checks validity and names, and evaluates policy. The cryptography in a certificate ecosystem includes more than the key used to establish a session: certificates can themselves be signed, certificate requests may be signed, and trust anchors must be distributed and protected.</w:t>
      </w:r>
    </w:p>
    <w:p>
      <w:r>
        <w:t>Changing a public-key algorithm can increase certificate or handshake size, affect device compatibility, alter validation software requirements, and change hardware or operational constraints. A migration planner must ask who issues the certificate, who consumes it, which products support the proposed algorithm, and what overlap period is acceptable.</w:t>
      </w:r>
    </w:p>
    <w:p>
      <w:pPr>
        <w:pStyle w:val="Heading2"/>
      </w:pPr>
      <w:r>
        <w:t>3.5 Protocols compose primitives</w:t>
      </w:r>
    </w:p>
    <w:p>
      <w:r>
        <w:t>A protocol defines the order and meaning of messages. Secure protocols combine cryptographic primitives with nonces, identity checks, key derivation, transcript binding, error handling, and state transitions. A sound primitive used incorrectly can lead to an insecure protocol. CryptoShift's prototype should not claim that a passing toy trace proves protocol security. It can test that expected steps occurred, algorithms were assigned to the correct roles, and recorded endpoints agree on parameters.</w:t>
      </w:r>
    </w:p>
    <w:p>
      <w:r>
        <w:t>This distinction informs verification. The scanner may find an API call. A rules layer assigns a candidate role. A protocol fixture can exercise a known implementation and capture steps, selected algorithms, message lengths, failures, and timing. Expert review checks whether the model of the protocol is appropriate.</w:t>
      </w:r>
    </w:p>
    <w:p>
      <w:pPr>
        <w:pStyle w:val="Heading1"/>
      </w:pPr>
      <w:r>
        <w:t>4. What quantum computers change</w:t>
      </w:r>
    </w:p>
    <w:p>
      <w:pPr>
        <w:pStyle w:val="Heading2"/>
      </w:pPr>
      <w:r>
        <w:t>4.1 What "quantum" means here</w:t>
      </w:r>
    </w:p>
    <w:p>
      <w:r>
        <w:t>A quantum computer is a machine that uses quantum states and operations to solve some computational tasks differently from a conventional computer. It is not simply a faster laptop. It will not make every computation instantly easy. The cryptographic concern focuses on particular algorithms that could change the cost of solving mathematical problems underlying some public-key systems.</w:t>
      </w:r>
    </w:p>
    <w:p>
      <w:pPr>
        <w:pStyle w:val="Heading2"/>
      </w:pPr>
      <w:r>
        <w:t>4.2 Shor's algorithm and public-key risk</w:t>
      </w:r>
    </w:p>
    <w:p>
      <w:r>
        <w:t>Shor's algorithm, if run on a sufficiently large fault-tolerant quantum computer, can solve integer factorization and discrete logarithm problems much more efficiently than known classical methods. RSA relies on the difficulty of factoring a large composite number. Common finite-field and elliptic-curve public-key systems rely on discrete logarithm variants. A large enough practical quantum machine could therefore threaten these systems.</w:t>
      </w:r>
    </w:p>
    <w:p>
      <w:r>
        <w:t>The qualifier "sufficiently large and fault-tolerant" matters. Building such a machine requires overcoming major engineering challenges, including error correction and scale. This project should not imply that a bank's RSA keys can be broken today by available quantum computers. The practical migration question is how to reduce future exposure and avoid waiting until the threat is immediate.</w:t>
      </w:r>
    </w:p>
    <w:p>
      <w:pPr>
        <w:pStyle w:val="Heading2"/>
      </w:pPr>
      <w:r>
        <w:t>4.3 Grover's algorithm and symmetric cryptography</w:t>
      </w:r>
    </w:p>
    <w:p>
      <w:r>
        <w:t>Grover's algorithm can provide a quadratic speedup for some unstructured search problems. That does not translate into a simple rule that all symmetric cryptography is broken. In broad terms, a quadratic reduction in brute-force search complexity can sometimes be countered by choosing suitable key sizes. Hashes also need case-by-case analysis. The migration focus here is public-key discovery and planning, because the most dramatic structural impact is on current public-key systems.</w:t>
      </w:r>
    </w:p>
    <w:p>
      <w:pPr>
        <w:pStyle w:val="Heading2"/>
      </w:pPr>
      <w:r>
        <w:t>4.4 Harvest now, decrypt later</w:t>
      </w:r>
    </w:p>
    <w:p>
      <w:r>
        <w:t>An adversary may record encrypted communications today and retain them. If the data remains valuable and a future machine can attack the public-key exchange used to protect it, the adversary may later recover session secrets or otherwise exploit captured material. This is commonly called "harvest now, decrypt later."</w:t>
      </w:r>
    </w:p>
    <w:p>
      <w:r>
        <w:t>The risk depends on the sensitivity lifetime of the data, the protocol and algorithms used, whether the adversary can capture the traffic, and whether the captured exchange can later be attacked. Some secrets need confidentiality for minutes; others, such as health, identity, or strategic financial records, may matter for many years. Prioritization should consider both technical exposure and the value horizon of the information.</w:t>
      </w:r>
    </w:p>
    <w:p>
      <w:pPr>
        <w:pStyle w:val="Heading2"/>
      </w:pPr>
      <w:r>
        <w:t>4.5 Why migration starts with discovery</w:t>
      </w:r>
    </w:p>
    <w:p>
      <w:r>
        <w:t>A large organization may use cryptography in thousands of services and products. It may not know which teams use legacy key agreement, which vendors own a device's firmware, or which certificates are embedded in clients. It cannot prioritize sensibly without knowing assets and dependencies. Discovery creates an actionable map; migration then proceeds in waves with validation and fallback.</w:t>
      </w:r>
    </w:p>
    <w:p>
      <w:r>
        <w:t>This does not mean an inventory tool can perfectly identify every cryptographic operation. Dynamic behavior, native libraries, hardware modules, managed services, generated code, and vendor appliances can hide usage. Good discovery has explicit coverage boundaries, evidence references, and a mechanism to mark unknowns. CryptoShift makes those boundaries visible.</w:t>
      </w:r>
    </w:p>
    <w:p>
      <w:pPr>
        <w:pStyle w:val="Heading1"/>
      </w:pPr>
      <w:r>
        <w:t>5. What post-quantum cryptography means</w:t>
      </w:r>
    </w:p>
    <w:p>
      <w:pPr>
        <w:pStyle w:val="Heading2"/>
      </w:pPr>
      <w:r>
        <w:t>5.1 PQC runs on ordinary computers</w:t>
      </w:r>
    </w:p>
    <w:p>
      <w:r>
        <w:t>Post-quantum cryptography, or PQC, is cryptography designed to resist attacks from both classical computers and future quantum computers. The algorithms run on conventional processors. "Post-quantum" describes the threat model, not a requirement to own a quantum computer.</w:t>
      </w:r>
    </w:p>
    <w:p>
      <w:r>
        <w:t>PQC is not the same as quantum key distribution. Quantum key distribution uses quantum communication techniques and specialized infrastructure. CryptoShift focuses on software migration to standardized cryptographic algorithms that run in ordinary systems.</w:t>
      </w:r>
    </w:p>
    <w:p>
      <w:pPr>
        <w:pStyle w:val="Heading2"/>
      </w:pPr>
      <w:r>
        <w:t>5.2 Standards and algorithm roles</w:t>
      </w:r>
    </w:p>
    <w:p>
      <w:r>
        <w:t>NIST published three principal PQC standards in August 2024. FIPS 203 specifies ML-KEM for key encapsulation. FIPS 204 specifies ML-DSA for digital signatures. FIPS 205 specifies SLH-DSA, a stateless hash-based digital signature standard. These standards provide a stable reference point for discovery and migration planning. Implementations and deployments still need to follow current guidance, library support, approved parameters, and applicable policy.</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shd w:fill="17365D"/>
          </w:tcPr>
          <w:p>
            <w:r>
              <w:t>Standard</w:t>
            </w:r>
          </w:p>
        </w:tc>
        <w:tc>
          <w:tcPr>
            <w:tcW w:type="dxa" w:w="3312"/>
            <w:shd w:fill="17365D"/>
          </w:tcPr>
          <w:p>
            <w:r>
              <w:t>Primary role</w:t>
            </w:r>
          </w:p>
        </w:tc>
        <w:tc>
          <w:tcPr>
            <w:tcW w:type="dxa" w:w="3312"/>
            <w:shd w:fill="17365D"/>
          </w:tcPr>
          <w:p>
            <w:r>
              <w:t>CryptoShift mapping idea</w:t>
            </w:r>
          </w:p>
        </w:tc>
      </w:tr>
      <w:tr>
        <w:tc>
          <w:tcPr>
            <w:tcW w:type="dxa" w:w="3312"/>
          </w:tcPr>
          <w:p>
            <w:r>
              <w:t>FIPS 203 ML-KEM</w:t>
            </w:r>
          </w:p>
        </w:tc>
        <w:tc>
          <w:tcPr>
            <w:tcW w:type="dxa" w:w="3312"/>
          </w:tcPr>
          <w:p>
            <w:r>
              <w:t>Establish a shared secret over a public channel; that secret can feed symmetric encryption.</w:t>
            </w:r>
          </w:p>
        </w:tc>
        <w:tc>
          <w:tcPr>
            <w:tcW w:type="dxa" w:w="3312"/>
          </w:tcPr>
          <w:p>
            <w:r>
              <w:t>Candidate when evidence shows public-key key establishment or a KEM role. Not a signature replacement.</w:t>
            </w:r>
          </w:p>
        </w:tc>
      </w:tr>
      <w:tr>
        <w:tc>
          <w:tcPr>
            <w:tcW w:type="dxa" w:w="3312"/>
          </w:tcPr>
          <w:p>
            <w:r>
              <w:t>FIPS 204 ML-DSA</w:t>
            </w:r>
          </w:p>
        </w:tc>
        <w:tc>
          <w:tcPr>
            <w:tcW w:type="dxa" w:w="3312"/>
          </w:tcPr>
          <w:p>
            <w:r>
              <w:t>Create and verify digital signatures.</w:t>
            </w:r>
          </w:p>
        </w:tc>
        <w:tc>
          <w:tcPr>
            <w:tcW w:type="dxa" w:w="3312"/>
          </w:tcPr>
          <w:p>
            <w:r>
              <w:t>Candidate when a signing or verification use is confirmed and interoperability supports it.</w:t>
            </w:r>
          </w:p>
        </w:tc>
      </w:tr>
      <w:tr>
        <w:tc>
          <w:tcPr>
            <w:tcW w:type="dxa" w:w="3312"/>
          </w:tcPr>
          <w:p>
            <w:r>
              <w:t>FIPS 205 SLH-DSA</w:t>
            </w:r>
          </w:p>
        </w:tc>
        <w:tc>
          <w:tcPr>
            <w:tcW w:type="dxa" w:w="3312"/>
          </w:tcPr>
          <w:p>
            <w:r>
              <w:t>Create and verify stateless hash-based digital signatures.</w:t>
            </w:r>
          </w:p>
        </w:tc>
        <w:tc>
          <w:tcPr>
            <w:tcW w:type="dxa" w:w="3312"/>
          </w:tcPr>
          <w:p>
            <w:r>
              <w:t>Alternative signature family for suitable requirements; consider signature sizes and performance.</w:t>
            </w:r>
          </w:p>
        </w:tc>
      </w:tr>
    </w:tbl>
    <w:p>
      <w:r/>
    </w:p>
    <w:p>
      <w:pPr>
        <w:pStyle w:val="Heading2"/>
      </w:pPr>
      <w:r>
        <w:t>5.3 ML-KEM in plain language</w:t>
      </w:r>
    </w:p>
    <w:p>
      <w:r>
        <w:t>A key-encapsulation mechanism lets one party use another party's public encapsulation key to create a shared secret and an encapsulation value. The key owner decapsulates that value using a private key and obtains the same shared secret. The shared secret is then combined with a key-derivation process and used with symmetric cryptography.</w:t>
      </w:r>
    </w:p>
    <w:p>
      <w:r>
        <w:t>ML-KEM is based on the Module Learning with Errors problem. FIPS 203 defines ML-KEM-512, ML-KEM-768, and ML-KEM-1024 parameter sets. Choosing one is a security and policy decision, not a guess based only on a name. The implementation, protocol, key storage, parameter policy, and product support all matter. The prototype can represent a recommended parameter as a configurable assumption; it must not pretend the recommendation is universally correct.</w:t>
      </w:r>
    </w:p>
    <w:p>
      <w:pPr>
        <w:pStyle w:val="Heading2"/>
      </w:pPr>
      <w:r>
        <w:t>5.4 ML-DSA in plain language</w:t>
      </w:r>
    </w:p>
    <w:p>
      <w:r>
        <w:t>A signature algorithm has a signing operation and a verification operation. ML-DSA is the NIST standardized module-lattice-based digital signature algorithm. A system may use signatures to verify software releases, certificates, documents, or authenticated messages. Migrating signatures can affect signature size, storage, bandwidth, verifier support, trust-root distribution, and signing-key custody.</w:t>
      </w:r>
    </w:p>
    <w:p>
      <w:r>
        <w:t>A verifier often has to accept a signature long after the original signing event. Migration plans must consider historical validation, archived public keys, certificate chains, and the policy used to interpret old signatures. Simply changing a signer can strand downstream verifiers that have not yet been upgraded.</w:t>
      </w:r>
    </w:p>
    <w:p>
      <w:pPr>
        <w:pStyle w:val="Heading2"/>
      </w:pPr>
      <w:r>
        <w:t>5.5 SLH-DSA in plain language</w:t>
      </w:r>
    </w:p>
    <w:p>
      <w:r>
        <w:t>SLH-DSA is a stateless hash-based digital signature standard. It offers a signature approach based on hash functions rather than the module-lattice construction used by ML-DSA. Different mathematical foundations can be valuable for algorithm diversity. Tradeoffs can include larger signatures or different performance profiles, so the fit depends on how often a system signs, how often it verifies, and how constrained the messages and devices are.</w:t>
      </w:r>
    </w:p>
    <w:p>
      <w:pPr>
        <w:pStyle w:val="Heading2"/>
      </w:pPr>
      <w:r>
        <w:t>5.6 What not to assume</w:t>
      </w:r>
    </w:p>
    <w:p>
      <w:pPr>
        <w:pStyle w:val="ListBullet"/>
      </w:pPr>
      <w:r>
        <w:t>Do not map every occurrence of RSA to ML-KEM. RSA can support different roles, including signatures and legacy key transport.</w:t>
      </w:r>
    </w:p>
    <w:p>
      <w:pPr>
        <w:pStyle w:val="ListBullet"/>
      </w:pPr>
      <w:r>
        <w:t>Do not map every occurrence of an elliptic-curve algorithm to ML-DSA. It may be used for key agreement or signing.</w:t>
      </w:r>
    </w:p>
    <w:p>
      <w:pPr>
        <w:pStyle w:val="ListBullet"/>
      </w:pPr>
      <w:r>
        <w:t>Do not assume new algorithms drop into old protocols without a version, extension, encoding, or certificate change.</w:t>
      </w:r>
    </w:p>
    <w:p>
      <w:pPr>
        <w:pStyle w:val="ListBullet"/>
      </w:pPr>
      <w:r>
        <w:t>Do not treat a standardized algorithm name as proof that a particular library build is compliant, validated, or correctly configured.</w:t>
      </w:r>
    </w:p>
    <w:p>
      <w:pPr>
        <w:pStyle w:val="ListBullet"/>
      </w:pPr>
      <w:r>
        <w:t>Do not imply that PQC removes the need for symmetric encryption, key management, identity controls, or secure implementation.</w:t>
      </w:r>
    </w:p>
    <w:p>
      <w:pPr>
        <w:pStyle w:val="ListBullet"/>
      </w:pPr>
      <w:r>
        <w:t>Do not promise quantum-proof security. The standards are designed to resist known quantum attacks; implementation and future cryptanalysis still matter.</w:t>
      </w:r>
    </w:p>
    <w:p>
      <w:pPr>
        <w:pStyle w:val="Heading2"/>
      </w:pPr>
      <w:r>
        <w:t>5.7 Crypto agility</w:t>
      </w:r>
    </w:p>
    <w:p>
      <w:r>
        <w:t>Crypto agility is the ability to change cryptographic algorithms, parameters, libraries, or protocols without redesigning an entire system each time. It depends on modular interfaces, explicit configuration, inventory, safe defaults, versioning, testing, key lifecycle planning, and operational ownership. It does not mean an application should dynamically choose arbitrary algorithms without governance.</w:t>
      </w:r>
    </w:p>
    <w:p>
      <w:r>
        <w:t>For CryptoShift, agility appears as structured inventory fields and migration records: current mechanism, purpose, candidate mechanism, owning service, dependencies, readiness state, verification criteria, human approver, and rollback version. The aim is to make decisions traceable and revisable as standards, support, or business constraints change.</w:t>
      </w:r>
    </w:p>
    <w:p>
      <w:pPr>
        <w:pStyle w:val="Heading1"/>
      </w:pPr>
      <w:r>
        <w:t>6. Migration is a system problem</w:t>
      </w:r>
    </w:p>
    <w:p>
      <w:pPr>
        <w:pStyle w:val="Heading2"/>
      </w:pPr>
      <w:r>
        <w:t>6.1 Why a simple search-and-replace fails</w:t>
      </w:r>
    </w:p>
    <w:p>
      <w:r>
        <w:t>A text search for "RSA" can find examples, comments, tests, vendored code, generated artifacts, dormant code, or a real production path. It can also miss the use when the algorithm is selected through a variable, framework default, dependency, certificate, or remote managed service. Search is a useful signal, but every signal needs context.</w:t>
      </w:r>
    </w:p>
    <w:p>
      <w:r>
        <w:t>A global replacement is worse. It can put a signature algorithm where a KEM is required, break a wire format, exceed a packet-size limit, or change a protocol in a way that peers cannot understand. It can remove compatibility with existing devices or vendor endpoints. A safe migration is an engineering program across layers.</w:t>
      </w:r>
    </w:p>
    <w:p>
      <w:pPr>
        <w:pStyle w:val="Heading2"/>
      </w:pPr>
      <w:r>
        <w:t>6.2 Typical layers involved</w:t>
      </w:r>
    </w:p>
    <w:tbl>
      <w:tblPr>
        <w:tblStyle w:val="LightShading-Accent1"/>
        <w:tblW w:type="auto" w:w="0"/>
        <w:tblLook w:firstColumn="1" w:firstRow="1" w:lastColumn="0" w:lastRow="0" w:noHBand="0" w:noVBand="1" w:val="04A0"/>
      </w:tblPr>
      <w:tblGrid>
        <w:gridCol w:w="4968"/>
        <w:gridCol w:w="4968"/>
      </w:tblGrid>
      <w:tr>
        <w:trPr>
          <w:tblHeader/>
        </w:trPr>
        <w:tc>
          <w:tcPr>
            <w:tcW w:type="dxa" w:w="4968"/>
            <w:shd w:fill="17365D"/>
          </w:tcPr>
          <w:p>
            <w:r>
              <w:t>Layer</w:t>
            </w:r>
          </w:p>
        </w:tc>
        <w:tc>
          <w:tcPr>
            <w:tcW w:type="dxa" w:w="4968"/>
            <w:shd w:fill="17365D"/>
          </w:tcPr>
          <w:p>
            <w:r>
              <w:t>Example questions</w:t>
            </w:r>
          </w:p>
        </w:tc>
      </w:tr>
      <w:tr>
        <w:tc>
          <w:tcPr>
            <w:tcW w:type="dxa" w:w="4968"/>
          </w:tcPr>
          <w:p>
            <w:r>
              <w:t>Application code</w:t>
            </w:r>
          </w:p>
        </w:tc>
        <w:tc>
          <w:tcPr>
            <w:tcW w:type="dxa" w:w="4968"/>
          </w:tcPr>
          <w:p>
            <w:r>
              <w:t>Which API is called? Is it actually executed? What operation and data does it protect?</w:t>
            </w:r>
          </w:p>
        </w:tc>
      </w:tr>
      <w:tr>
        <w:tc>
          <w:tcPr>
            <w:tcW w:type="dxa" w:w="4968"/>
          </w:tcPr>
          <w:p>
            <w:r>
              <w:t>Libraries and runtimes</w:t>
            </w:r>
          </w:p>
        </w:tc>
        <w:tc>
          <w:tcPr>
            <w:tcW w:type="dxa" w:w="4968"/>
          </w:tcPr>
          <w:p>
            <w:r>
              <w:t>Which version provides the algorithm? Is it configured and supported on target platforms?</w:t>
            </w:r>
          </w:p>
        </w:tc>
      </w:tr>
      <w:tr>
        <w:tc>
          <w:tcPr>
            <w:tcW w:type="dxa" w:w="4968"/>
          </w:tcPr>
          <w:p>
            <w:r>
              <w:t>Protocol</w:t>
            </w:r>
          </w:p>
        </w:tc>
        <w:tc>
          <w:tcPr>
            <w:tcW w:type="dxa" w:w="4968"/>
          </w:tcPr>
          <w:p>
            <w:r>
              <w:t>Which version, negotiation, encoding, and peer capabilities are required?</w:t>
            </w:r>
          </w:p>
        </w:tc>
      </w:tr>
      <w:tr>
        <w:tc>
          <w:tcPr>
            <w:tcW w:type="dxa" w:w="4968"/>
          </w:tcPr>
          <w:p>
            <w:r>
              <w:t>PKI and identity</w:t>
            </w:r>
          </w:p>
        </w:tc>
        <w:tc>
          <w:tcPr>
            <w:tcW w:type="dxa" w:w="4968"/>
          </w:tcPr>
          <w:p>
            <w:r>
              <w:t>Who issues, stores, rotates, and validates keys and certificates?</w:t>
            </w:r>
          </w:p>
        </w:tc>
      </w:tr>
      <w:tr>
        <w:tc>
          <w:tcPr>
            <w:tcW w:type="dxa" w:w="4968"/>
          </w:tcPr>
          <w:p>
            <w:r>
              <w:t>Infrastructure</w:t>
            </w:r>
          </w:p>
        </w:tc>
        <w:tc>
          <w:tcPr>
            <w:tcW w:type="dxa" w:w="4968"/>
          </w:tcPr>
          <w:p>
            <w:r>
              <w:t>Do gateways, load balancers, HSMs, proxies, and monitoring tools support the change?</w:t>
            </w:r>
          </w:p>
        </w:tc>
      </w:tr>
      <w:tr>
        <w:tc>
          <w:tcPr>
            <w:tcW w:type="dxa" w:w="4968"/>
          </w:tcPr>
          <w:p>
            <w:r>
              <w:t>Data and audit</w:t>
            </w:r>
          </w:p>
        </w:tc>
        <w:tc>
          <w:tcPr>
            <w:tcW w:type="dxa" w:w="4968"/>
          </w:tcPr>
          <w:p>
            <w:r>
              <w:t>How long must old signatures and records remain verifiable? What evidence is retained?</w:t>
            </w:r>
          </w:p>
        </w:tc>
      </w:tr>
      <w:tr>
        <w:tc>
          <w:tcPr>
            <w:tcW w:type="dxa" w:w="4968"/>
          </w:tcPr>
          <w:p>
            <w:r>
              <w:t>Operations</w:t>
            </w:r>
          </w:p>
        </w:tc>
        <w:tc>
          <w:tcPr>
            <w:tcW w:type="dxa" w:w="4968"/>
          </w:tcPr>
          <w:p>
            <w:r>
              <w:t>How will rollout be staged, monitored, stopped, and rolled back?</w:t>
            </w:r>
          </w:p>
        </w:tc>
      </w:tr>
      <w:tr>
        <w:tc>
          <w:tcPr>
            <w:tcW w:type="dxa" w:w="4968"/>
          </w:tcPr>
          <w:p>
            <w:r>
              <w:t>Vendors and external parties</w:t>
            </w:r>
          </w:p>
        </w:tc>
        <w:tc>
          <w:tcPr>
            <w:tcW w:type="dxa" w:w="4968"/>
          </w:tcPr>
          <w:p>
            <w:r>
              <w:t>Who controls the endpoint, and what release plan governs compatibility?</w:t>
            </w:r>
          </w:p>
        </w:tc>
      </w:tr>
    </w:tbl>
    <w:p>
      <w:r/>
    </w:p>
    <w:p>
      <w:pPr>
        <w:pStyle w:val="Heading2"/>
      </w:pPr>
      <w:r>
        <w:t>6.3 Risk prioritization</w:t>
      </w:r>
    </w:p>
    <w:p>
      <w:r>
        <w:t>A useful migration priority is not just "weakest algorithm first." It weighs the use's purpose and exposure, sensitivity lifetime, exploitability, external reach, business criticality, dependency count, replacement availability, and failure cost. A public-facing key-establishment service protecting long-lived sensitive data may deserve early attention. A disconnected test artifact with no active use may be documented and handled differently.</w:t>
      </w:r>
    </w:p>
    <w:p>
      <w:r>
        <w:t>CryptoShift can expose these factors as a transparent prioritization score. Each component is visible and configurable, with underlying evidence displayed. The score is a triage aid, not a calibrated probability of compromise. If weights are selected for a hackathon demonstration, call them prototype weights and explain that a real bank would set them through risk governance.</w:t>
      </w:r>
    </w:p>
    <w:p>
      <w:pPr>
        <w:pStyle w:val="Heading2"/>
      </w:pPr>
      <w:r>
        <w:t>6.4 Dependencies make sequence matter</w:t>
      </w:r>
    </w:p>
    <w:p>
      <w:r>
        <w:t>A service may depend on a shared library; a client may depend on the service's certificate; a payment processor may depend on a gateway; test harnesses may depend on protocol captures. A deployment cannot move one node in isolation if downstream components cannot communicate with it. A migration plan must identify relationships and propose waves that can be tested together.</w:t>
      </w:r>
    </w:p>
    <w:p>
      <w:r>
        <w:t>The graph can identify a shared platform or library that unlocks several services at once. But it may be a high-impact, high-risk change, so the plan should include a canary environment, compatibility matrix, rollback trigger, and owner for each participant.</w:t>
      </w:r>
    </w:p>
    <w:p>
      <w:pPr>
        <w:pStyle w:val="Heading1"/>
      </w:pPr>
      <w:r>
        <w:t>7. The CryptoShift proposal</w:t>
      </w:r>
    </w:p>
    <w:p>
      <w:pPr>
        <w:pStyle w:val="Heading2"/>
      </w:pPr>
      <w:r>
        <w:t>7.1 The user and the job to be done</w:t>
      </w:r>
    </w:p>
    <w:p>
      <w:r>
        <w:t>The primary user is an application-security or platform engineer preparing a team for cryptographic migration. The user needs to answer: what cryptography is present in my bounded scope, what evidence supports each finding, how certain is the classification, what purpose does the use serve, what needs to change first, how will I test it, and how can I return to a known-good state if rollout fails?</w:t>
      </w:r>
    </w:p>
    <w:p>
      <w:r>
        <w:t>A secondary user is a security architect or mentor reviewing whether the migration is technically coherent and honestly evaluated. This person needs concise evidence, traceable assumptions, understandable metrics, and a demo that distinguishes automated analysis from human judgment.</w:t>
      </w:r>
    </w:p>
    <w:p>
      <w:pPr>
        <w:pStyle w:val="Heading2"/>
      </w:pPr>
      <w:r>
        <w:t>7.2 Product statement</w:t>
      </w:r>
    </w:p>
    <w:p>
      <w:r>
        <w:t>CryptoShift scans a small repository or dataset, builds an evidence-backed inventory of cryptographic use, groups findings by application and purpose, proposes context-dependent migration candidates, sequences work using dependencies and transparent risk factors, and generates verification and rollback records for a controlled migration wave.</w:t>
      </w:r>
    </w:p>
    <w:p>
      <w:pPr>
        <w:pStyle w:val="Heading2"/>
      </w:pPr>
      <w:r>
        <w:t>7.3 MVP boundaries</w:t>
      </w:r>
    </w:p>
    <w:p>
      <w:pPr>
        <w:pStyle w:val="ListBullet"/>
      </w:pPr>
      <w:r>
        <w:t>Input: a repository or selected directory containing supported source and configuration files.</w:t>
      </w:r>
    </w:p>
    <w:p>
      <w:pPr>
        <w:pStyle w:val="ListBullet"/>
      </w:pPr>
      <w:r>
        <w:t>Discovery: Python AST checks plus targeted patterns for configuration, dependency declarations, and known cryptographic API families. Every finding points to a file and line or configuration key.</w:t>
      </w:r>
    </w:p>
    <w:p>
      <w:pPr>
        <w:pStyle w:val="ListBullet"/>
      </w:pPr>
      <w:r>
        <w:t>Inventory: structured records exported as JSON or CSV and displayed in a small local dashboard or report.</w:t>
      </w:r>
    </w:p>
    <w:p>
      <w:pPr>
        <w:pStyle w:val="ListBullet"/>
      </w:pPr>
      <w:r>
        <w:t>Planning: dependency graph and rule-based scoring with an optional optimization tool for ordering a limited batch.</w:t>
      </w:r>
    </w:p>
    <w:p>
      <w:pPr>
        <w:pStyle w:val="ListBullet"/>
      </w:pPr>
      <w:r>
        <w:t>Verification: compatibility checks and before/after protocol traces in a controlled, clearly labelled fixture.</w:t>
      </w:r>
    </w:p>
    <w:p>
      <w:pPr>
        <w:pStyle w:val="ListBullet"/>
      </w:pPr>
      <w:r>
        <w:t>Governance: human approval field, verification status, rollback steps, and audit log for each proposed change.</w:t>
      </w:r>
    </w:p>
    <w:p>
      <w:pPr>
        <w:pStyle w:val="ListBullet"/>
      </w:pPr>
      <w:r>
        <w:t>Scope: local prototype and public or explicitly permitted sample data; no bank secrets, production systems, or private customer data.</w:t>
      </w:r>
    </w:p>
    <w:p>
      <w:pPr>
        <w:pStyle w:val="Heading2"/>
      </w:pPr>
      <w:r>
        <w:t>7.4 Not in the MVP</w:t>
      </w:r>
    </w:p>
    <w:p>
      <w:pPr>
        <w:pStyle w:val="ListBullet"/>
      </w:pPr>
      <w:r>
        <w:t>Automatic modification of arbitrary repositories or production deployments.</w:t>
      </w:r>
    </w:p>
    <w:p>
      <w:pPr>
        <w:pStyle w:val="ListBullet"/>
      </w:pPr>
      <w:r>
        <w:t>Claims of complete discovery across native code, binaries, appliances, cloud accounts, and vendor systems.</w:t>
      </w:r>
    </w:p>
    <w:p>
      <w:pPr>
        <w:pStyle w:val="ListBullet"/>
      </w:pPr>
      <w:r>
        <w:t>Cryptographic primitives written from scratch.</w:t>
      </w:r>
    </w:p>
    <w:p>
      <w:pPr>
        <w:pStyle w:val="ListBullet"/>
      </w:pPr>
      <w:r>
        <w:t>An automated assertion that a bank is quantum-safe.</w:t>
      </w:r>
    </w:p>
    <w:p>
      <w:pPr>
        <w:pStyle w:val="ListBullet"/>
      </w:pPr>
      <w:r>
        <w:t>An LLM patch merged or deployed without human review and deterministic tests.</w:t>
      </w:r>
    </w:p>
    <w:p>
      <w:pPr>
        <w:pStyle w:val="ListBullet"/>
      </w:pPr>
      <w:r>
        <w:t>Benchmark results not obtained from the named dataset, documented labels, and reproducible evaluation.</w:t>
      </w:r>
    </w:p>
    <w:p>
      <w:pPr>
        <w:pStyle w:val="Heading2"/>
      </w:pPr>
      <w:r>
        <w:t>7.5 What the user sees</w:t>
      </w:r>
    </w:p>
    <w:p>
      <w:r>
        <w:t>A useful result is not merely a number of matches. The user sees findings with source evidence, purpose hypothesis, confidence, current owner, affected dependency, proposed action, verification evidence, and status. Uncertain cases are easy to filter. A code finding is distinguishable from configuration evidence and from a manually confirmed fact.</w:t>
      </w:r>
    </w:p>
    <w:tbl>
      <w:tblPr>
        <w:tblStyle w:val="LightShading-Accent1"/>
        <w:tblW w:type="auto" w:w="0"/>
        <w:tblLook w:firstColumn="1" w:firstRow="1" w:lastColumn="0" w:lastRow="0" w:noHBand="0" w:noVBand="1" w:val="04A0"/>
      </w:tblPr>
      <w:tblGrid>
        <w:gridCol w:w="4968"/>
        <w:gridCol w:w="4968"/>
      </w:tblGrid>
      <w:tr>
        <w:trPr>
          <w:tblHeader/>
        </w:trPr>
        <w:tc>
          <w:tcPr>
            <w:tcW w:type="dxa" w:w="4968"/>
            <w:shd w:fill="17365D"/>
          </w:tcPr>
          <w:p>
            <w:r>
              <w:t>Field</w:t>
            </w:r>
          </w:p>
        </w:tc>
        <w:tc>
          <w:tcPr>
            <w:tcW w:type="dxa" w:w="4968"/>
            <w:shd w:fill="17365D"/>
          </w:tcPr>
          <w:p>
            <w:r>
              <w:t>Example for illustration only</w:t>
            </w:r>
          </w:p>
        </w:tc>
      </w:tr>
      <w:tr>
        <w:tc>
          <w:tcPr>
            <w:tcW w:type="dxa" w:w="4968"/>
          </w:tcPr>
          <w:p>
            <w:r>
              <w:t>Finding ID</w:t>
            </w:r>
          </w:p>
        </w:tc>
        <w:tc>
          <w:tcPr>
            <w:tcW w:type="dxa" w:w="4968"/>
          </w:tcPr>
          <w:p>
            <w:r>
              <w:t>CRYPTO-017</w:t>
            </w:r>
          </w:p>
        </w:tc>
      </w:tr>
      <w:tr>
        <w:tc>
          <w:tcPr>
            <w:tcW w:type="dxa" w:w="4968"/>
          </w:tcPr>
          <w:p>
            <w:r>
              <w:t>Evidence</w:t>
            </w:r>
          </w:p>
        </w:tc>
        <w:tc>
          <w:tcPr>
            <w:tcW w:type="dxa" w:w="4968"/>
          </w:tcPr>
          <w:p>
            <w:r>
              <w:t>src/client.py line 42 calls a public-key exchange API</w:t>
            </w:r>
          </w:p>
        </w:tc>
      </w:tr>
      <w:tr>
        <w:tc>
          <w:tcPr>
            <w:tcW w:type="dxa" w:w="4968"/>
          </w:tcPr>
          <w:p>
            <w:r>
              <w:t>Algorithm clue</w:t>
            </w:r>
          </w:p>
        </w:tc>
        <w:tc>
          <w:tcPr>
            <w:tcW w:type="dxa" w:w="4968"/>
          </w:tcPr>
          <w:p>
            <w:r>
              <w:t>ECDH family, inferred from symbol and context</w:t>
            </w:r>
          </w:p>
        </w:tc>
      </w:tr>
      <w:tr>
        <w:tc>
          <w:tcPr>
            <w:tcW w:type="dxa" w:w="4968"/>
          </w:tcPr>
          <w:p>
            <w:r>
              <w:t>Purpose</w:t>
            </w:r>
          </w:p>
        </w:tc>
        <w:tc>
          <w:tcPr>
            <w:tcW w:type="dxa" w:w="4968"/>
          </w:tcPr>
          <w:p>
            <w:r>
              <w:t>Key establishment, medium confidence</w:t>
            </w:r>
          </w:p>
        </w:tc>
      </w:tr>
      <w:tr>
        <w:tc>
          <w:tcPr>
            <w:tcW w:type="dxa" w:w="4968"/>
          </w:tcPr>
          <w:p>
            <w:r>
              <w:t>Candidate</w:t>
            </w:r>
          </w:p>
        </w:tc>
        <w:tc>
          <w:tcPr>
            <w:tcW w:type="dxa" w:w="4968"/>
          </w:tcPr>
          <w:p>
            <w:r>
              <w:t>ML-KEM candidate, subject to protocol and library support review</w:t>
            </w:r>
          </w:p>
        </w:tc>
      </w:tr>
      <w:tr>
        <w:tc>
          <w:tcPr>
            <w:tcW w:type="dxa" w:w="4968"/>
          </w:tcPr>
          <w:p>
            <w:r>
              <w:t>Dependencies</w:t>
            </w:r>
          </w:p>
        </w:tc>
        <w:tc>
          <w:tcPr>
            <w:tcW w:type="dxa" w:w="4968"/>
          </w:tcPr>
          <w:p>
            <w:r>
              <w:t>gateway service, shared TLS library, mobile client</w:t>
            </w:r>
          </w:p>
        </w:tc>
      </w:tr>
      <w:tr>
        <w:tc>
          <w:tcPr>
            <w:tcW w:type="dxa" w:w="4968"/>
          </w:tcPr>
          <w:p>
            <w:r>
              <w:t>Verification</w:t>
            </w:r>
          </w:p>
        </w:tc>
        <w:tc>
          <w:tcPr>
            <w:tcW w:type="dxa" w:w="4968"/>
          </w:tcPr>
          <w:p>
            <w:r>
              <w:t>handshake negotiation, old/new peer matrix, size and latency capture</w:t>
            </w:r>
          </w:p>
        </w:tc>
      </w:tr>
      <w:tr>
        <w:tc>
          <w:tcPr>
            <w:tcW w:type="dxa" w:w="4968"/>
          </w:tcPr>
          <w:p>
            <w:r>
              <w:t>Rollback</w:t>
            </w:r>
          </w:p>
        </w:tc>
        <w:tc>
          <w:tcPr>
            <w:tcW w:type="dxa" w:w="4968"/>
          </w:tcPr>
          <w:p>
            <w:r>
              <w:t>restore previous protocol configuration and library version; trigger on failed negotiation threshold</w:t>
            </w:r>
          </w:p>
        </w:tc>
      </w:tr>
    </w:tbl>
    <w:p>
      <w:r/>
    </w:p>
    <w:p>
      <w:pPr>
        <w:pStyle w:val="Heading1"/>
      </w:pPr>
      <w:r>
        <w:t>8. How the prototype works end to end</w:t>
      </w:r>
    </w:p>
    <w:p>
      <w:pPr>
        <w:pStyle w:val="Heading2"/>
      </w:pPr>
      <w:r>
        <w:t>8.1 Step 1: define the scope</w:t>
      </w:r>
    </w:p>
    <w:p>
      <w:r>
        <w:t>The operator selects a repository or bounded set of files and records the revision, language coverage, included directories, excluded generated files, and scan date. Pinning the revision makes the result reproducible. A scan without a recorded scope can be misread as comprehensive.</w:t>
      </w:r>
    </w:p>
    <w:p>
      <w:pPr>
        <w:pStyle w:val="Heading2"/>
      </w:pPr>
      <w:r>
        <w:t>8.2 Step 2: discover candidate uses</w:t>
      </w:r>
    </w:p>
    <w:p>
      <w:r>
        <w:t>The scanner parses source files where supported, extracts import and call patterns, and checks configuration and dependency files. A Python AST scanner can identify syntax-level constructs more reliably than raw regular expressions for Python. It can resolve some aliases and function calls, but static analysis will not execute the program or follow every dynamic behavior. Config and dependency scanning should be separate modules so evidence type stays clear.</w:t>
      </w:r>
    </w:p>
    <w:p>
      <w:r>
        <w:t>For each match, save the exact file path, line or key, matching symbol or rule, scanner version, and source revision. Avoid storing secret values. If a configuration file contains a key or credential, record that a sensitive field was detected without copying the secret into an export.</w:t>
      </w:r>
    </w:p>
    <w:p>
      <w:pPr>
        <w:pStyle w:val="Heading2"/>
      </w:pPr>
      <w:r>
        <w:t>8.3 Step 3: classify the purpose</w:t>
      </w:r>
    </w:p>
    <w:p>
      <w:r>
        <w:t>A rules layer uses surrounding context to propose a category such as key establishment, signing, verification, hashing, encryption, certificate handling, key storage, or unknown. It should consider API names, surrounding call sites, imports, config keys, and file role. A single token is rarely enough. Output includes rationale and confidence; "unknown" is acceptable.</w:t>
      </w:r>
    </w:p>
    <w:p>
      <w:r>
        <w:t>An optional LLM can explain a finding or suggest candidate remediation text, but its output is not a source of truth. A deterministic scanner creates evidence; a model can draft a human-readable explanation; tests and reviewers decide whether the proposal is acceptable. The LLM must not receive secrets or production source unless data policy explicitly allows it.</w:t>
      </w:r>
    </w:p>
    <w:p>
      <w:pPr>
        <w:pStyle w:val="Heading2"/>
      </w:pPr>
      <w:r>
        <w:t>8.4 Step 4: assemble the inventory</w:t>
      </w:r>
    </w:p>
    <w:p>
      <w:r>
        <w:t>Findings are grouped into application components and normalized into a Cryptographic Bill of Materials, or CBOM-like export. A CBOM is an inventory of cryptographic assets and their relationships. The prototype can use a compact project schema; it should not claim full conformance to any standard unless the schema and validation actually meet it.</w:t>
      </w:r>
    </w:p>
    <w:p>
      <w:r>
        <w:t>A record may include algorithm family, operation, key or certificate reference without secret material, library and version, protocol, location, owner, dependencies, data sensitivity, retention horizon, runtime evidence, confidence, and review status. Missing fields remain missing rather than being guessed.</w:t>
      </w:r>
    </w:p>
    <w:p>
      <w:pPr>
        <w:pStyle w:val="Heading2"/>
      </w:pPr>
      <w:r>
        <w:t>8.5 Step 5: make a migration plan</w:t>
      </w:r>
    </w:p>
    <w:p>
      <w:r>
        <w:t>The planner uses dependencies to create a graph of components and prerequisites. Transparent rules propose migration waves. Constraints might include "upgrade shared TLS library before service," "server and mobile client must be tested as a pair," "vendor endpoint is blocked," or "signature verifier fleet must support the new signature before the signer changes."</w:t>
      </w:r>
    </w:p>
    <w:p>
      <w:r>
        <w:t>The planner can prioritize long-lived sensitive data and externally reachable services, but the score and weights are visible. If an optimizer is used, it solves a defined scheduling problem such as minimizing total risk-weighted completion cost subject to dependencies, capacity, and compatibility windows. The algorithm does not decide security policy. A human approves the wave.</w:t>
      </w:r>
    </w:p>
    <w:p>
      <w:pPr>
        <w:pStyle w:val="Heading2"/>
      </w:pPr>
      <w:r>
        <w:t>8.6 Step 6: propose a change safely</w:t>
      </w:r>
    </w:p>
    <w:p>
      <w:r>
        <w:t>A candidate patch is optional. The narrowest useful patch changes a configuration in a disposable demo fixture or generates a reviewable diff for a supported code pattern. The proposal includes its reason, expected behavior, tests, and known compatibility concerns. It is written to a branch or scratch copy, never directly into production.</w:t>
      </w:r>
    </w:p>
    <w:p>
      <w:r>
        <w:t>For hackathon judging, a migration record may be more valuable than a risky auto-patch. A complete recommendation can identify the relevant interface, required library capability, protocol negotiation change, tests to run, and rollback point. That is a concrete outcome even when the prototype cannot safely edit the repository.</w:t>
      </w:r>
    </w:p>
    <w:p>
      <w:pPr>
        <w:pStyle w:val="Heading2"/>
      </w:pPr>
      <w:r>
        <w:t>8.7 Step 7: verify and record</w:t>
      </w:r>
    </w:p>
    <w:p>
      <w:r>
        <w:t>The verification gate evaluates deterministic checks: the intended endpoint capability exists; the expected algorithm role is negotiated; application behavior succeeds; old and new peers behave according to policy; trace fields are captured; size and timing are recorded; and rollback instructions are complete. A failing check blocks status from "verified."</w:t>
      </w:r>
    </w:p>
    <w:p>
      <w:r>
        <w:t>The audit record captures input revision, scanner and rule versions, finding IDs, approved plan, test commands, outcomes, trace artifact references, operator approval, and rollback configuration. This creates a chain from evidence to decision to verification.</w:t>
      </w:r>
    </w:p>
    <w:p>
      <w:pPr>
        <w:pStyle w:val="Heading2"/>
      </w:pPr>
      <w:r>
        <w:t>8.8 Step 8: report honestly</w:t>
      </w:r>
    </w:p>
    <w:p>
      <w:r>
        <w:t>The report summarizes coverage, supported file types, findings by evidence class and purpose, uncertain cases, migration waves, blockers, verification results, and evaluation metrics. It states dataset and sample size. It does not convert a prototype scan count into the number of vulnerable systems in a bank.</w:t>
      </w:r>
    </w:p>
    <w:p>
      <w:pPr>
        <w:pStyle w:val="Heading1"/>
      </w:pPr>
      <w:r>
        <w:t>9. Inventory and cryptographic evidence</w:t>
      </w:r>
    </w:p>
    <w:p>
      <w:pPr>
        <w:pStyle w:val="Heading2"/>
      </w:pPr>
      <w:r>
        <w:t>9.1 Evidence classes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shd w:fill="17365D"/>
          </w:tcPr>
          <w:p>
            <w:r>
              <w:t>Class</w:t>
            </w:r>
          </w:p>
        </w:tc>
        <w:tc>
          <w:tcPr>
            <w:tcW w:type="dxa" w:w="3312"/>
            <w:shd w:fill="17365D"/>
          </w:tcPr>
          <w:p>
            <w:r>
              <w:t>Meaning</w:t>
            </w:r>
          </w:p>
        </w:tc>
        <w:tc>
          <w:tcPr>
            <w:tcW w:type="dxa" w:w="3312"/>
            <w:shd w:fill="17365D"/>
          </w:tcPr>
          <w:p>
            <w:r>
              <w:t>Example</w:t>
            </w:r>
          </w:p>
        </w:tc>
      </w:tr>
      <w:tr>
        <w:tc>
          <w:tcPr>
            <w:tcW w:type="dxa" w:w="3312"/>
          </w:tcPr>
          <w:p>
            <w:r>
              <w:t>Direct code evidence</w:t>
            </w:r>
          </w:p>
        </w:tc>
        <w:tc>
          <w:tcPr>
            <w:tcW w:type="dxa" w:w="3312"/>
          </w:tcPr>
          <w:p>
            <w:r>
              <w:t>An API call or key construction is present in a source location.</w:t>
            </w:r>
          </w:p>
        </w:tc>
        <w:tc>
          <w:tcPr>
            <w:tcW w:type="dxa" w:w="3312"/>
          </w:tcPr>
          <w:p>
            <w:r>
              <w:t>AST detects an imported signing function used at line 80.</w:t>
            </w:r>
          </w:p>
        </w:tc>
      </w:tr>
      <w:tr>
        <w:tc>
          <w:tcPr>
            <w:tcW w:type="dxa" w:w="3312"/>
          </w:tcPr>
          <w:p>
            <w:r>
              <w:t>Configuration evidence</w:t>
            </w:r>
          </w:p>
        </w:tc>
        <w:tc>
          <w:tcPr>
            <w:tcW w:type="dxa" w:w="3312"/>
          </w:tcPr>
          <w:p>
            <w:r>
              <w:t>A setting selects an algorithm, protocol version, or certificate profile.</w:t>
            </w:r>
          </w:p>
        </w:tc>
        <w:tc>
          <w:tcPr>
            <w:tcW w:type="dxa" w:w="3312"/>
          </w:tcPr>
          <w:p>
            <w:r>
              <w:t>TLS config permits a legacy group.</w:t>
            </w:r>
          </w:p>
        </w:tc>
      </w:tr>
      <w:tr>
        <w:tc>
          <w:tcPr>
            <w:tcW w:type="dxa" w:w="3312"/>
          </w:tcPr>
          <w:p>
            <w:r>
              <w:t>Dependency evidence</w:t>
            </w:r>
          </w:p>
        </w:tc>
        <w:tc>
          <w:tcPr>
            <w:tcW w:type="dxa" w:w="3312"/>
          </w:tcPr>
          <w:p>
            <w:r>
              <w:t>A dependency includes a cryptographic library or provider.</w:t>
            </w:r>
          </w:p>
        </w:tc>
        <w:tc>
          <w:tcPr>
            <w:tcW w:type="dxa" w:w="3312"/>
          </w:tcPr>
          <w:p>
            <w:r>
              <w:t>Lockfile pins a TLS package version.</w:t>
            </w:r>
          </w:p>
        </w:tc>
      </w:tr>
      <w:tr>
        <w:tc>
          <w:tcPr>
            <w:tcW w:type="dxa" w:w="3312"/>
          </w:tcPr>
          <w:p>
            <w:r>
              <w:t>Runtime evidence</w:t>
            </w:r>
          </w:p>
        </w:tc>
        <w:tc>
          <w:tcPr>
            <w:tcW w:type="dxa" w:w="3312"/>
          </w:tcPr>
          <w:p>
            <w:r>
              <w:t>An observed trace or test shows a negotiated operation.</w:t>
            </w:r>
          </w:p>
        </w:tc>
        <w:tc>
          <w:tcPr>
            <w:tcW w:type="dxa" w:w="3312"/>
          </w:tcPr>
          <w:p>
            <w:r>
              <w:t>Captured handshake selects a particular group.</w:t>
            </w:r>
          </w:p>
        </w:tc>
      </w:tr>
      <w:tr>
        <w:tc>
          <w:tcPr>
            <w:tcW w:type="dxa" w:w="3312"/>
          </w:tcPr>
          <w:p>
            <w:r>
              <w:t>Human-confirmed evidence</w:t>
            </w:r>
          </w:p>
        </w:tc>
        <w:tc>
          <w:tcPr>
            <w:tcW w:type="dxa" w:w="3312"/>
          </w:tcPr>
          <w:p>
            <w:r>
              <w:t>A reviewer validates a use or ownership with system context.</w:t>
            </w:r>
          </w:p>
        </w:tc>
        <w:tc>
          <w:tcPr>
            <w:tcW w:type="dxa" w:w="3312"/>
          </w:tcPr>
          <w:p>
            <w:r>
              <w:t>Service owner confirms a certificate is used in production.</w:t>
            </w:r>
          </w:p>
        </w:tc>
      </w:tr>
      <w:tr>
        <w:tc>
          <w:tcPr>
            <w:tcW w:type="dxa" w:w="3312"/>
          </w:tcPr>
          <w:p>
            <w:r>
              <w:t>Indirect clue</w:t>
            </w:r>
          </w:p>
        </w:tc>
        <w:tc>
          <w:tcPr>
            <w:tcW w:type="dxa" w:w="3312"/>
          </w:tcPr>
          <w:p>
            <w:r>
              <w:t>A naming or dependency hint that needs investigation.</w:t>
            </w:r>
          </w:p>
        </w:tc>
        <w:tc>
          <w:tcPr>
            <w:tcW w:type="dxa" w:w="3312"/>
          </w:tcPr>
          <w:p>
            <w:r>
              <w:t>A package name suggests a provider but no active call is found.</w:t>
            </w:r>
          </w:p>
        </w:tc>
      </w:tr>
    </w:tbl>
    <w:p>
      <w:r/>
    </w:p>
    <w:p>
      <w:pPr>
        <w:pStyle w:val="Heading2"/>
      </w:pPr>
      <w:r>
        <w:t>9.2 Why provenance matters</w:t>
      </w:r>
    </w:p>
    <w:p>
      <w:r>
        <w:t>Evidence should be reproducible. For code, record repository identity, commit hash, path, line span, rule identifier, and scanner version. For a runtime trace, record test environment, endpoint versions, configuration, timestamp, and trace schema. For manual confirmation, record reviewer role and confirmation date. Avoid personal information beyond what is operationally necessary.</w:t>
      </w:r>
    </w:p>
    <w:p>
      <w:r>
        <w:t>A finding should also contain a lifecycle status such as discovered, triaged, confirmed, accepted risk, planned, in migration, verified, or retired. A status change should have an accountable role, timestamp, and reason. That turns a static scan into a workflow.</w:t>
      </w:r>
    </w:p>
    <w:p>
      <w:pPr>
        <w:pStyle w:val="Heading2"/>
      </w:pPr>
      <w:r>
        <w:t>9.3 Unknowns are actionable</w:t>
      </w:r>
    </w:p>
    <w:p>
      <w:r>
        <w:t>A system can be partially understood. The report should make uncertainty operational: "Purpose unknown because the call is wrapped in a dynamic provider," "runtime not available," or "dependency is vendor-managed." It can then assign an investigation task and owner. Hiding unknowns creates false confidence and degrades the inventory.</w:t>
      </w:r>
    </w:p>
    <w:p>
      <w:pPr>
        <w:pStyle w:val="Heading2"/>
      </w:pPr>
      <w:r>
        <w:t>9.4 CBOM is a map, not a verdict</w:t>
      </w:r>
    </w:p>
    <w:p>
      <w:r>
        <w:t>A cryptographic bill of materials helps a team answer what it believes is present and how assets connect. It is not a vulnerability verdict. The same algorithm may be acceptable in one context and a migration priority in another; a library name may be present but unused; a system may rely on a remote endpoint absent from the code repository. The inventory supports risk decisions but does not replace them.</w:t>
      </w:r>
    </w:p>
    <w:p>
      <w:pPr>
        <w:pStyle w:val="Heading1"/>
      </w:pPr>
      <w:r>
        <w:t>10. Dependency-aware migration planning</w:t>
      </w:r>
    </w:p>
    <w:p>
      <w:pPr>
        <w:pStyle w:val="Heading2"/>
      </w:pPr>
      <w:r>
        <w:t>10.1 Build a graph</w:t>
      </w:r>
    </w:p>
    <w:p>
      <w:r>
        <w:t>Represent components as nodes and prerequisite relationships as directed edges. A node might be a client, service, library, certificate authority, gateway, firmware image, signing pipeline, or test harness. An edge means one component must be compatible with or ready before another can migrate. Label each edge with evidence and confidence.</w:t>
      </w:r>
    </w:p>
    <w:p>
      <w:r>
        <w:t>For example, a new server certificate signature may require a new trust-store parser in the mobile app. The app update may require app-store deployment time. A shared TLS library may need upgrading before the service configuration can enable a new key-establishment group. The graph exposes these dependencies and helps schedule joint tests.</w:t>
      </w:r>
    </w:p>
    <w:p>
      <w:pPr>
        <w:pStyle w:val="Heading2"/>
      </w:pPr>
      <w:r>
        <w:t>10.2 Define a migration wave</w:t>
      </w:r>
    </w:p>
    <w:p>
      <w:r>
        <w:t>A wave is a bounded set of components that can be changed and verified together. A wave should have a named owner, business window, entry checklist, success metrics, rollback trigger, rollback procedure, and communication plan. In a banking environment, migration is staged: development, integration, pre-production, a canary or limited traffic group, then broader deployment.</w:t>
      </w:r>
    </w:p>
    <w:p>
      <w:pPr>
        <w:pStyle w:val="Heading2"/>
      </w:pPr>
      <w:r>
        <w:t>10.3 Transparent triage score</w:t>
      </w:r>
    </w:p>
    <w:p>
      <w:r>
        <w:t>For a demonstration, a simple score can combine exposure, data lifetime, criticality, confidence, and readiness. A sample formula might assign normalized values from zero to one and compute: priority = 0.30 x exposure + 0.30 x sensitivity lifetime + 0.20 x business criticality + 0.10 x dependency centrality + 0.10 x confidence. These values are illustrative only. They are not a standard, measured probability, or bank-approved weighting. The screen should show the components and let a reviewer change them.</w:t>
      </w:r>
    </w:p>
    <w:p>
      <w:r>
        <w:t>Confidence must be handled carefully. A low-confidence high-risk clue should not receive a low priority simply because the scanner is uncertain. One approach is to keep "risk priority" and "investigation urgency" separate. High potential impact plus low evidence can mean "investigate quickly," not "ignore."</w:t>
      </w:r>
    </w:p>
    <w:p>
      <w:pPr>
        <w:pStyle w:val="Heading2"/>
      </w:pPr>
      <w:r>
        <w:t>10.4 Scheduling constraints</w:t>
      </w:r>
    </w:p>
    <w:p>
      <w:pPr>
        <w:pStyle w:val="ListBullet"/>
      </w:pPr>
      <w:r>
        <w:t>Prerequisites must precede dependent services.</w:t>
      </w:r>
    </w:p>
    <w:p>
      <w:pPr>
        <w:pStyle w:val="ListBullet"/>
      </w:pPr>
      <w:r>
        <w:t>Components that communicate must have an agreed compatibility window.</w:t>
      </w:r>
    </w:p>
    <w:p>
      <w:pPr>
        <w:pStyle w:val="ListBullet"/>
      </w:pPr>
      <w:r>
        <w:t>Only a limited number of teams or test environments may be available each week.</w:t>
      </w:r>
    </w:p>
    <w:p>
      <w:pPr>
        <w:pStyle w:val="ListBullet"/>
      </w:pPr>
      <w:r>
        <w:t>No wave should proceed without a test and a rollback owner.</w:t>
      </w:r>
    </w:p>
    <w:p>
      <w:pPr>
        <w:pStyle w:val="ListBullet"/>
      </w:pPr>
      <w:r>
        <w:t>External vendors may have fixed release dates or no confirmed support.</w:t>
      </w:r>
    </w:p>
    <w:p>
      <w:pPr>
        <w:pStyle w:val="ListBullet"/>
      </w:pPr>
      <w:r>
        <w:t>Business-critical windows may prohibit certain changes.</w:t>
      </w:r>
    </w:p>
    <w:p>
      <w:pPr>
        <w:pStyle w:val="ListBullet"/>
      </w:pPr>
      <w:r>
        <w:t>The plan should preserve a known-good path while the new path is validated.</w:t>
      </w:r>
    </w:p>
    <w:p>
      <w:pPr>
        <w:pStyle w:val="Heading2"/>
      </w:pPr>
      <w:r>
        <w:t>10.5 Optimization is a tool, not authority</w:t>
      </w:r>
    </w:p>
    <w:p>
      <w:r>
        <w:t>An optimization solver can help order a small set of candidate tasks subject to constraints. It cannot determine whether a cryptographic mapping is correct or whether a risk weight reflects business policy. If QpiAI Opt is used, make the objective explicit, include the constraints, show the schedule, and compare it with a simple baseline. If setup or connectivity fails, retain a transparent local planner and describe solver integration as optional rather than fabricating a result.</w:t>
      </w:r>
    </w:p>
    <w:p>
      <w:r>
        <w:t>A useful demonstration might minimize weighted completion time while respecting dependencies and team capacity. Inputs should be small and reproducible. The output should identify why each component appears in a particular wave. A quantum optimization tool does not imply that PQC is quantum-computing-based; these are separate concepts.</w:t>
      </w:r>
    </w:p>
    <w:p>
      <w:pPr>
        <w:pStyle w:val="Heading2"/>
      </w:pPr>
      <w:r>
        <w:t>10.6 Rollback as a first-class plan</w:t>
      </w:r>
    </w:p>
    <w:p>
      <w:r>
        <w:t>Rollback needs more than "revert the code." It may require restoring a previous library version, certificate profile, protocol policy, trust store, routing setting, or feature flag. It must consider data written under the new format, key rotation, clients that have already updated, and whether the old algorithm is still permitted during the rollback window.</w:t>
      </w:r>
    </w:p>
    <w:p>
      <w:r>
        <w:t>A hackathon rollback plan can be concrete for a demo: preserve the original configuration, toggle a feature flag, verify old-client connectivity, capture the rollback trace, and record the condition that triggered rollback. In a real deployment, security and compliance owners decide whether legacy fallback is acceptable and for how long.</w:t>
      </w:r>
    </w:p>
    <w:p>
      <w:pPr>
        <w:pStyle w:val="Heading1"/>
      </w:pPr>
      <w:r>
        <w:t>11. Verification gates and protocol traces</w:t>
      </w:r>
    </w:p>
    <w:p>
      <w:pPr>
        <w:pStyle w:val="Heading2"/>
      </w:pPr>
      <w:r>
        <w:t>11.1 A gate is an explicit stop condition</w:t>
      </w:r>
    </w:p>
    <w:p>
      <w:r>
        <w:t>A verification gate means that a migration does not advance until predeclared checks pass. Example states are proposed, reviewed, ready for test, test passed, approved for pilot, pilot verified, or rolled back. Each transition needs evidence. A report should not mark a finding "migrated" merely because a configuration file changed.</w:t>
      </w:r>
    </w:p>
    <w:p>
      <w:pPr>
        <w:pStyle w:val="Heading2"/>
      </w:pPr>
      <w:r>
        <w:t>11.2 Before-and-after traces</w:t>
      </w:r>
    </w:p>
    <w:p>
      <w:r>
        <w:t>A protocol trace records the observable sequence of events in a controlled test. Depending on the fixture, it may include client and server versions, offered and selected groups or algorithms, certificate algorithm, message sizes, timing, success or failure, and application-level outcome. The trace must avoid private keys, credentials, session secrets, and unnecessary personal data.</w:t>
      </w:r>
    </w:p>
    <w:p>
      <w:r>
        <w:t>The before trace shows a baseline with the legacy configuration or test implementation. The after trace shows the candidate configuration. Both traces should use the same environment as far as possible and record differences that could affect comparison. If the exact standards implementation is unavailable, label the trace as a model or mocked demonstration; do not present it as a real cryptographic handshake.</w:t>
      </w:r>
    </w:p>
    <w:p>
      <w:pPr>
        <w:pStyle w:val="Heading2"/>
      </w:pPr>
      <w:r>
        <w:t>11.3 Compatibility matrix</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shd w:fill="17365D"/>
          </w:tcPr>
          <w:p>
            <w:r>
              <w:t>Client / server combination</w:t>
            </w:r>
          </w:p>
        </w:tc>
        <w:tc>
          <w:tcPr>
            <w:tcW w:type="dxa" w:w="3312"/>
            <w:shd w:fill="17365D"/>
          </w:tcPr>
          <w:p>
            <w:r>
              <w:t>Expected result</w:t>
            </w:r>
          </w:p>
        </w:tc>
        <w:tc>
          <w:tcPr>
            <w:tcW w:type="dxa" w:w="3312"/>
            <w:shd w:fill="17365D"/>
          </w:tcPr>
          <w:p>
            <w:r>
              <w:t>Evidence to capture</w:t>
            </w:r>
          </w:p>
        </w:tc>
      </w:tr>
      <w:tr>
        <w:tc>
          <w:tcPr>
            <w:tcW w:type="dxa" w:w="3312"/>
          </w:tcPr>
          <w:p>
            <w:r>
              <w:t>Legacy client to legacy server</w:t>
            </w:r>
          </w:p>
        </w:tc>
        <w:tc>
          <w:tcPr>
            <w:tcW w:type="dxa" w:w="3312"/>
          </w:tcPr>
          <w:p>
            <w:r>
              <w:t>Baseline succeeds under current policy.</w:t>
            </w:r>
          </w:p>
        </w:tc>
        <w:tc>
          <w:tcPr>
            <w:tcW w:type="dxa" w:w="3312"/>
          </w:tcPr>
          <w:p>
            <w:r>
              <w:t>Negotiated parameters, application result, baseline timing.</w:t>
            </w:r>
          </w:p>
        </w:tc>
      </w:tr>
      <w:tr>
        <w:tc>
          <w:tcPr>
            <w:tcW w:type="dxa" w:w="3312"/>
          </w:tcPr>
          <w:p>
            <w:r>
              <w:t>PQC-capable client to PQC-capable server</w:t>
            </w:r>
          </w:p>
        </w:tc>
        <w:tc>
          <w:tcPr>
            <w:tcW w:type="dxa" w:w="3312"/>
          </w:tcPr>
          <w:p>
            <w:r>
              <w:t>New path succeeds with intended key-establishment or signature role.</w:t>
            </w:r>
          </w:p>
        </w:tc>
        <w:tc>
          <w:tcPr>
            <w:tcW w:type="dxa" w:w="3312"/>
          </w:tcPr>
          <w:p>
            <w:r>
              <w:t>Selected parameters, trace, message sizes, latency, application result.</w:t>
            </w:r>
          </w:p>
        </w:tc>
      </w:tr>
      <w:tr>
        <w:tc>
          <w:tcPr>
            <w:tcW w:type="dxa" w:w="3312"/>
          </w:tcPr>
          <w:p>
            <w:r>
              <w:t>Legacy client to new server</w:t>
            </w:r>
          </w:p>
        </w:tc>
        <w:tc>
          <w:tcPr>
            <w:tcW w:type="dxa" w:w="3312"/>
          </w:tcPr>
          <w:p>
            <w:r>
              <w:t>Policy-defined compatibility, fallback, or deliberate rejection.</w:t>
            </w:r>
          </w:p>
        </w:tc>
        <w:tc>
          <w:tcPr>
            <w:tcW w:type="dxa" w:w="3312"/>
          </w:tcPr>
          <w:p>
            <w:r>
              <w:t>Negotiation result and reason; downgrade handling.</w:t>
            </w:r>
          </w:p>
        </w:tc>
      </w:tr>
      <w:tr>
        <w:tc>
          <w:tcPr>
            <w:tcW w:type="dxa" w:w="3312"/>
          </w:tcPr>
          <w:p>
            <w:r>
              <w:t>New client to legacy server</w:t>
            </w:r>
          </w:p>
        </w:tc>
        <w:tc>
          <w:tcPr>
            <w:tcW w:type="dxa" w:w="3312"/>
          </w:tcPr>
          <w:p>
            <w:r>
              <w:t>Policy-defined compatibility or clear failure behavior.</w:t>
            </w:r>
          </w:p>
        </w:tc>
        <w:tc>
          <w:tcPr>
            <w:tcW w:type="dxa" w:w="3312"/>
          </w:tcPr>
          <w:p>
            <w:r>
              <w:t>Error behavior, observability event, and user impact.</w:t>
            </w:r>
          </w:p>
        </w:tc>
      </w:tr>
    </w:tbl>
    <w:p>
      <w:r/>
    </w:p>
    <w:p>
      <w:pPr>
        <w:pStyle w:val="Heading2"/>
      </w:pPr>
      <w:r>
        <w:t>11.4 Correctness checks</w:t>
      </w:r>
    </w:p>
    <w:p>
      <w:r>
        <w:t>Correctness checks confirm the system performs the intended operation and the application retains expected behavior. For key establishment, parties must derive matching session keys through the tested library and protocol. For signatures, a valid signature should verify and an altered message or wrong key should fail. For a migration workflow, scanner classification and candidate must match labelled purpose, and the plan must respect dependencies.</w:t>
      </w:r>
    </w:p>
    <w:p>
      <w:r>
        <w:t>A toy unit test is not enough to establish cryptographic security. The MVP validates integration behavior and decision workflow using trusted libraries or an explicitly mocked trace. A production security review would need implementation validation, protocol analysis, side-channel review, key-management analysis, and operational controls.</w:t>
      </w:r>
    </w:p>
    <w:p>
      <w:pPr>
        <w:pStyle w:val="Heading2"/>
      </w:pPr>
      <w:r>
        <w:t>11.5 Overhead measurements</w:t>
      </w:r>
    </w:p>
    <w:p>
      <w:r>
        <w:t>PQC algorithms can change key, ciphertext, signature, certificate, and handshake sizes. They can also change processing time and memory use. The correct benchmark measures the exact library, version, hardware, protocol, parameters, and workload. It reports repeated trials, median and spread, warm-up policy, and limitations. A single run on a laptop is a demo measurement, not a general performance claim.</w:t>
      </w:r>
    </w:p>
    <w:p>
      <w:r>
        <w:t>For a fair before/after comparison, record environment details, keep workloads comparable, and separate algorithm cost from network and application delay where feasible. Include raw measurements and the calculation method. If the team only captures trace sizes or timings from a fixture, say exactly that.</w:t>
      </w:r>
    </w:p>
    <w:p>
      <w:pPr>
        <w:pStyle w:val="Heading2"/>
      </w:pPr>
      <w:r>
        <w:t>11.6 Downgrade and fallback behavior</w:t>
      </w:r>
    </w:p>
    <w:p>
      <w:r>
        <w:t>Hybrid or fallback behavior may improve interoperability in some deployments, but it adds complexity. A protocol may negotiate classical and PQC mechanisms together, or support a legacy fallback under a specific policy. The system must prevent an attacker from forcing a downgrade silently. CryptoShift should treat fallback as an explicit policy choice and include negative tests that verify expected behavior.</w:t>
      </w:r>
    </w:p>
    <w:p>
      <w:pPr>
        <w:pStyle w:val="Heading2"/>
      </w:pPr>
      <w:r>
        <w:t>11.7 Auditability</w:t>
      </w:r>
    </w:p>
    <w:p>
      <w:r>
        <w:t>The verification report ties each result to a finding ID, dataset or repository revision, test setup, command or procedure, expected condition, observed outcome, and reviewer. This makes the demo explainable and gives the team evidence to show a mentor. If a test fails, record and diagnose it; do not remove it to make the result look better.</w:t>
      </w:r>
    </w:p>
    <w:p>
      <w:pPr>
        <w:pStyle w:val="Heading1"/>
      </w:pPr>
      <w:r>
        <w:t>12. Data, labels, and honest evaluation</w:t>
      </w:r>
    </w:p>
    <w:p>
      <w:pPr>
        <w:pStyle w:val="Heading2"/>
      </w:pPr>
      <w:r>
        <w:t>12.1 Why data matters</w:t>
      </w:r>
    </w:p>
    <w:p>
      <w:r>
        <w:t>The scanner's performance cannot be judged using only files it was written to detect. A credible evaluation needs examples that represent the target task and labels created independently enough to avoid rewarding the scanner for memorizing its own rules. Real public repositories provide realistic syntax and configuration, while a curated labelled benchmark can provide known cases. Neither alone proves readiness for banking code.</w:t>
      </w:r>
    </w:p>
    <w:p>
      <w:pPr>
        <w:pStyle w:val="Heading2"/>
      </w:pPr>
      <w:r>
        <w:t>12.2 A layered dataset plan</w:t>
      </w:r>
    </w:p>
    <w:p>
      <w:r>
        <w:t>Use a public labelled benchmark such as CryptoAPI-Bench for its stated task and language. The benchmark contains Java cryptographic API misuse examples and is useful for testing recognition of specific patterns. It is not a corpus of production banking systems and does not directly validate a Python scanner. Describe the benchmark's language, task, version, sample selection, and label interpretation accurately.</w:t>
      </w:r>
    </w:p>
    <w:p>
      <w:r>
        <w:t>Complement it with a small reproducible sample of real public repositories and configuration files. Pin each source to a commit or release, record its license, URL, collection date, and file scope. Manually annotate a manageable subset for cryptographic evidence, purpose, location, and uncertainty. Two teammates can independently label ambiguous cases, then resolve disagreements with notes. Public source code may include tests, examples, and unused paths, so labels should distinguish production-looking code from fixtures where possible.</w:t>
      </w:r>
    </w:p>
    <w:p>
      <w:r>
        <w:t>Use synthetic data only to exercise controlled scenarios such as a known dependency graph, invalid signature, or compatibility failure. Put it in a separate demo category. Do not mix synthetic examples into the "real data" performance denominator. Synthetic examples are valuable tests, but not evidence about real repositories.</w:t>
      </w:r>
    </w:p>
    <w:p>
      <w:pPr>
        <w:pStyle w:val="Heading2"/>
      </w:pPr>
      <w:r>
        <w:t>12.3 Label schema</w:t>
      </w:r>
    </w:p>
    <w:tbl>
      <w:tblPr>
        <w:tblStyle w:val="LightShading-Accent1"/>
        <w:tblW w:type="auto" w:w="0"/>
        <w:tblLook w:firstColumn="1" w:firstRow="1" w:lastColumn="0" w:lastRow="0" w:noHBand="0" w:noVBand="1" w:val="04A0"/>
      </w:tblPr>
      <w:tblGrid>
        <w:gridCol w:w="4968"/>
        <w:gridCol w:w="4968"/>
      </w:tblGrid>
      <w:tr>
        <w:trPr>
          <w:tblHeader/>
        </w:trPr>
        <w:tc>
          <w:tcPr>
            <w:tcW w:type="dxa" w:w="4968"/>
            <w:shd w:fill="17365D"/>
          </w:tcPr>
          <w:p>
            <w:r>
              <w:t>Label field</w:t>
            </w:r>
          </w:p>
        </w:tc>
        <w:tc>
          <w:tcPr>
            <w:tcW w:type="dxa" w:w="4968"/>
            <w:shd w:fill="17365D"/>
          </w:tcPr>
          <w:p>
            <w:r>
              <w:t>Meaning</w:t>
            </w:r>
          </w:p>
        </w:tc>
      </w:tr>
      <w:tr>
        <w:tc>
          <w:tcPr>
            <w:tcW w:type="dxa" w:w="4968"/>
          </w:tcPr>
          <w:p>
            <w:r>
              <w:t>Presence</w:t>
            </w:r>
          </w:p>
        </w:tc>
        <w:tc>
          <w:tcPr>
            <w:tcW w:type="dxa" w:w="4968"/>
          </w:tcPr>
          <w:p>
            <w:r>
              <w:t>Does the file contain a cryptographic use in scope?</w:t>
            </w:r>
          </w:p>
        </w:tc>
      </w:tr>
      <w:tr>
        <w:tc>
          <w:tcPr>
            <w:tcW w:type="dxa" w:w="4968"/>
          </w:tcPr>
          <w:p>
            <w:r>
              <w:t>Evidence location</w:t>
            </w:r>
          </w:p>
        </w:tc>
        <w:tc>
          <w:tcPr>
            <w:tcW w:type="dxa" w:w="4968"/>
          </w:tcPr>
          <w:p>
            <w:r>
              <w:t>Path, line span, config key, or dependency reference.</w:t>
            </w:r>
          </w:p>
        </w:tc>
      </w:tr>
      <w:tr>
        <w:tc>
          <w:tcPr>
            <w:tcW w:type="dxa" w:w="4968"/>
          </w:tcPr>
          <w:p>
            <w:r>
              <w:t>Operation</w:t>
            </w:r>
          </w:p>
        </w:tc>
        <w:tc>
          <w:tcPr>
            <w:tcW w:type="dxa" w:w="4968"/>
          </w:tcPr>
          <w:p>
            <w:r>
              <w:t>Key establishment, signing, verification, encryption, hashing, certificate handling, or other.</w:t>
            </w:r>
          </w:p>
        </w:tc>
      </w:tr>
      <w:tr>
        <w:tc>
          <w:tcPr>
            <w:tcW w:type="dxa" w:w="4968"/>
          </w:tcPr>
          <w:p>
            <w:r>
              <w:t>Algorithm family</w:t>
            </w:r>
          </w:p>
        </w:tc>
        <w:tc>
          <w:tcPr>
            <w:tcW w:type="dxa" w:w="4968"/>
          </w:tcPr>
          <w:p>
            <w:r>
              <w:t>Only where evidence supports a family-level conclusion.</w:t>
            </w:r>
          </w:p>
        </w:tc>
      </w:tr>
      <w:tr>
        <w:tc>
          <w:tcPr>
            <w:tcW w:type="dxa" w:w="4968"/>
          </w:tcPr>
          <w:p>
            <w:r>
              <w:t>Activity</w:t>
            </w:r>
          </w:p>
        </w:tc>
        <w:tc>
          <w:tcPr>
            <w:tcW w:type="dxa" w:w="4968"/>
          </w:tcPr>
          <w:p>
            <w:r>
              <w:t>Active use, test/demo, vendored, generated, unknown.</w:t>
            </w:r>
          </w:p>
        </w:tc>
      </w:tr>
      <w:tr>
        <w:tc>
          <w:tcPr>
            <w:tcW w:type="dxa" w:w="4968"/>
          </w:tcPr>
          <w:p>
            <w:r>
              <w:t>Migration relevance</w:t>
            </w:r>
          </w:p>
        </w:tc>
        <w:tc>
          <w:tcPr>
            <w:tcW w:type="dxa" w:w="4968"/>
          </w:tcPr>
          <w:p>
            <w:r>
              <w:t>In scope, out of scope, or needs review for PQC migration.</w:t>
            </w:r>
          </w:p>
        </w:tc>
      </w:tr>
      <w:tr>
        <w:tc>
          <w:tcPr>
            <w:tcW w:type="dxa" w:w="4968"/>
          </w:tcPr>
          <w:p>
            <w:r>
              <w:t>Confidence and rationale</w:t>
            </w:r>
          </w:p>
        </w:tc>
        <w:tc>
          <w:tcPr>
            <w:tcW w:type="dxa" w:w="4968"/>
          </w:tcPr>
          <w:p>
            <w:r>
              <w:t>Why the label was assigned and what remains uncertain.</w:t>
            </w:r>
          </w:p>
        </w:tc>
      </w:tr>
    </w:tbl>
    <w:p>
      <w:r/>
    </w:p>
    <w:p>
      <w:pPr>
        <w:pStyle w:val="Heading2"/>
      </w:pPr>
      <w:r>
        <w:t>12.4 Precision and recall</w:t>
      </w:r>
    </w:p>
    <w:p>
      <w:r>
        <w:t>Precision asks: among items the scanner flagged, how many were true positives according to the reference labels? Precision = true positives / (true positives + false positives). High precision means the reviewer spends less time dismissing incorrect findings.</w:t>
      </w:r>
    </w:p>
    <w:p>
      <w:r>
        <w:t>Recall asks: among all labelled true cryptographic uses in scope, how many did the scanner find? Recall = true positives / (true positives + false negatives). High recall means fewer labelled uses were missed. A scanner can have high precision but low recall if it finds only easy patterns. It can have high recall but low precision if it floods reviewers with noise.</w:t>
      </w:r>
    </w:p>
    <w:p>
      <w:r>
        <w:t>The team must define the unit being counted. Is a "case" a repository, file, line, API call, or labelled instance? Use the same unit for TP, FP, and FN, and document matching rules. If the scanner produces duplicate matches for one use, define deduplication before scoring.</w:t>
      </w:r>
    </w:p>
    <w:p>
      <w:pPr>
        <w:pStyle w:val="Heading2"/>
      </w:pPr>
      <w:r>
        <w:t>12.5 Confusion matrix</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shd w:fill="17365D"/>
          </w:tcPr>
          <w:p>
            <w:r/>
          </w:p>
        </w:tc>
        <w:tc>
          <w:tcPr>
            <w:tcW w:type="dxa" w:w="3312"/>
            <w:shd w:fill="17365D"/>
          </w:tcPr>
          <w:p>
            <w:r>
              <w:t>Label says in scope</w:t>
            </w:r>
          </w:p>
        </w:tc>
        <w:tc>
          <w:tcPr>
            <w:tcW w:type="dxa" w:w="3312"/>
            <w:shd w:fill="17365D"/>
          </w:tcPr>
          <w:p>
            <w:r>
              <w:t>Label says out of scope</w:t>
            </w:r>
          </w:p>
        </w:tc>
      </w:tr>
      <w:tr>
        <w:tc>
          <w:tcPr>
            <w:tcW w:type="dxa" w:w="3312"/>
          </w:tcPr>
          <w:p>
            <w:r>
              <w:t>Scanner flags</w:t>
            </w:r>
          </w:p>
        </w:tc>
        <w:tc>
          <w:tcPr>
            <w:tcW w:type="dxa" w:w="3312"/>
          </w:tcPr>
          <w:p>
            <w:r>
              <w:t>True positive (TP)</w:t>
            </w:r>
          </w:p>
        </w:tc>
        <w:tc>
          <w:tcPr>
            <w:tcW w:type="dxa" w:w="3312"/>
          </w:tcPr>
          <w:p>
            <w:r>
              <w:t>False positive (FP)</w:t>
            </w:r>
          </w:p>
        </w:tc>
      </w:tr>
      <w:tr>
        <w:tc>
          <w:tcPr>
            <w:tcW w:type="dxa" w:w="3312"/>
          </w:tcPr>
          <w:p>
            <w:r>
              <w:t>Scanner does not flag</w:t>
            </w:r>
          </w:p>
        </w:tc>
        <w:tc>
          <w:tcPr>
            <w:tcW w:type="dxa" w:w="3312"/>
          </w:tcPr>
          <w:p>
            <w:r>
              <w:t>False negative (FN)</w:t>
            </w:r>
          </w:p>
        </w:tc>
        <w:tc>
          <w:tcPr>
            <w:tcW w:type="dxa" w:w="3312"/>
          </w:tcPr>
          <w:p>
            <w:r>
              <w:t>True negative (TN)</w:t>
            </w:r>
          </w:p>
        </w:tc>
      </w:tr>
    </w:tbl>
    <w:p>
      <w:r/>
    </w:p>
    <w:p>
      <w:r>
        <w:t>Specificity can be reported as true negatives divided by all labelled negatives if the dataset has a meaningful negative class. F1 is the harmonic mean of precision and recall. These metrics can summarize a detector, but do not replace showing counts and coverage limitations. If labels are incomplete or ambiguous, report that explicitly.</w:t>
      </w:r>
    </w:p>
    <w:p>
      <w:pPr>
        <w:pStyle w:val="Heading2"/>
      </w:pPr>
      <w:r>
        <w:t>12.6 Prevent leakage</w:t>
      </w:r>
    </w:p>
    <w:p>
      <w:r>
        <w:t>If the same repository or near-duplicate code appears in both rule development and evaluation, results can be overly optimistic. Split by repository or project, not randomly by file, when related files share patterns. Keep a holdout set that the team does not use while tuning rules. Record every rule change and rerun the holdout only under a documented evaluation procedure.</w:t>
      </w:r>
    </w:p>
    <w:p>
      <w:pPr>
        <w:pStyle w:val="Heading2"/>
      </w:pPr>
      <w:r>
        <w:t>12.7 Report uncertainty and scope</w:t>
      </w:r>
    </w:p>
    <w:p>
      <w:r>
        <w:t>A small sample will have wide uncertainty. Report the number of repositories, files, labelled findings, and each confusion-matrix count. Explain supported languages and file types. Distinguish "not found in supported files" from "not present in the system." For example: "On the 60 manually labelled Python/config files from 4 public repositories in this sample, the scanner found 18 of 22 labelled in-scope instances." This is better than saying "the scanner is 82% accurate."</w:t>
      </w:r>
    </w:p>
    <w:p>
      <w:r>
        <w:t>Do not report a benchmark score unless it was actually produced with the stated code and split. A paper's published score belongs to the paper, not to CryptoShift. If the team does not finish labels within 36 hours, report a transparent pilot evaluation or leave performance claims out; do not invent values.</w:t>
      </w:r>
    </w:p>
    <w:p>
      <w:pPr>
        <w:pStyle w:val="Heading2"/>
      </w:pPr>
      <w:r>
        <w:t>12.8 Dataset provenance and ethics</w:t>
      </w:r>
    </w:p>
    <w:p>
      <w:r>
        <w:t>Collect only public repositories with terms that permit the intended use. Respect licenses and attribution. Do not upload private repository content or secret-bearing configuration to an external service without explicit authorization. Strip secrets from fixtures and logs. A public repository can still contain accidental credentials; do not reproduce them in the report. Store source URL and revision instead of copying large amounts of code into the document.</w:t>
      </w:r>
    </w:p>
    <w:p>
      <w:pPr>
        <w:pStyle w:val="Heading1"/>
      </w:pPr>
      <w:r>
        <w:t>13. QpiAI tools and responsible use</w:t>
      </w:r>
    </w:p>
    <w:p>
      <w:pPr>
        <w:pStyle w:val="Heading2"/>
      </w:pPr>
      <w:r>
        <w:t>13.1 Keep PQC and quantum optimization separate</w:t>
      </w:r>
    </w:p>
    <w:p>
      <w:r>
        <w:t>Post-quantum cryptography is designed to run on conventional computers and resist future quantum attacks. QpiAI's optimization or quantum-cloud tooling, if used, is a separate tool choice for a scheduling experiment. The project must not imply that ML-KEM or ML-DSA runs on a quantum computer, or that an optimizer makes the cryptography safer.</w:t>
      </w:r>
    </w:p>
    <w:p>
      <w:pPr>
        <w:pStyle w:val="Heading2"/>
      </w:pPr>
      <w:r>
        <w:t>13.2 QpiAI Opt as an optional planner</w:t>
      </w:r>
    </w:p>
    <w:p>
      <w:r>
        <w:t>QpiAI Opt may solve a constrained migration-wave scheduling instance if the team can configure it and obtain a reproducible result within the hackathon. The input could be a small dependency graph, team-capacity limits, and a transparent objective such as reducing risk-weighted completion time. Compare the output against a simple baseline schedule and have a human review it.</w:t>
      </w:r>
    </w:p>
    <w:p>
      <w:r>
        <w:t>Use the official package and documentation instructions for environment setup. Keep API credentials in local environment configuration or an approved secret store; never paste keys into source files, Git history, screenshots, reports, or prompts. Because a previously shared key is considered exposed, revoke and rotate it before future use. This document and the public demo must never contain the key itself.</w:t>
      </w:r>
    </w:p>
    <w:p>
      <w:pPr>
        <w:pStyle w:val="Heading2"/>
      </w:pPr>
      <w:r>
        <w:t>13.3 What counts as meaningful integration</w:t>
      </w:r>
    </w:p>
    <w:p>
      <w:pPr>
        <w:pStyle w:val="ListBullet"/>
      </w:pPr>
      <w:r>
        <w:t>The solver receives a clearly defined scheduling problem rather than arbitrary text.</w:t>
      </w:r>
    </w:p>
    <w:p>
      <w:pPr>
        <w:pStyle w:val="ListBullet"/>
      </w:pPr>
      <w:r>
        <w:t>Constraints and objective are documented and visible.</w:t>
      </w:r>
    </w:p>
    <w:p>
      <w:pPr>
        <w:pStyle w:val="ListBullet"/>
      </w:pPr>
      <w:r>
        <w:t>The result is captured with tool version, inputs, and run status.</w:t>
      </w:r>
    </w:p>
    <w:p>
      <w:pPr>
        <w:pStyle w:val="ListBullet"/>
      </w:pPr>
      <w:r>
        <w:t>A baseline is available if the service is unavailable.</w:t>
      </w:r>
    </w:p>
    <w:p>
      <w:pPr>
        <w:pStyle w:val="ListBullet"/>
      </w:pPr>
      <w:r>
        <w:t>The project reports whether computation was local or remote and whether a credit-bearing service was used.</w:t>
      </w:r>
    </w:p>
    <w:p>
      <w:pPr>
        <w:pStyle w:val="ListBullet"/>
      </w:pPr>
      <w:r>
        <w:t>The team makes no quantum advantage claim unless a valid comparative experiment supports it.</w:t>
      </w:r>
    </w:p>
    <w:p>
      <w:pPr>
        <w:pStyle w:val="Heading2"/>
      </w:pPr>
      <w:r>
        <w:t>13.4 QCloud only when it serves the demo</w:t>
      </w:r>
    </w:p>
    <w:p>
      <w:r>
        <w:t>A quantum cloud service is not necessary to demonstrate PQC migration. If QCloud is used for a genuine experiment, explain the experiment and how its result informs a migration decision. Do not add a decorative circuit or unrelated quantum output. During a 36-hour build, integration that adds authentication risk or unstable setup may distract from the core deliverable. A local, deterministic dependency planner is an acceptable fallback.</w:t>
      </w:r>
    </w:p>
    <w:p>
      <w:pPr>
        <w:pStyle w:val="Heading2"/>
      </w:pPr>
      <w:r>
        <w:t>13.5 Secret handling checklist</w:t>
      </w:r>
    </w:p>
    <w:p>
      <w:pPr>
        <w:pStyle w:val="ListBullet"/>
      </w:pPr>
      <w:r>
        <w:t>Rotate any credential exposed in chat or source control.</w:t>
      </w:r>
    </w:p>
    <w:p>
      <w:pPr>
        <w:pStyle w:val="ListBullet"/>
      </w:pPr>
      <w:r>
        <w:t>Store the replacement only in a local environment file excluded from Git, or an approved secrets manager.</w:t>
      </w:r>
    </w:p>
    <w:p>
      <w:pPr>
        <w:pStyle w:val="ListBullet"/>
      </w:pPr>
      <w:r>
        <w:t>Use separate credentials for separate services when supported.</w:t>
      </w:r>
    </w:p>
    <w:p>
      <w:pPr>
        <w:pStyle w:val="ListBullet"/>
      </w:pPr>
      <w:r>
        <w:t>Apply minimum required permissions and usage limits.</w:t>
      </w:r>
    </w:p>
    <w:p>
      <w:pPr>
        <w:pStyle w:val="ListBullet"/>
      </w:pPr>
      <w:r>
        <w:t>Never print secrets in logs or copy them into issue reports.</w:t>
      </w:r>
    </w:p>
    <w:p>
      <w:pPr>
        <w:pStyle w:val="ListBullet"/>
      </w:pPr>
      <w:r>
        <w:t>Remove leaked credentials from current files and arrange history remediation when needed.</w:t>
      </w:r>
    </w:p>
    <w:p>
      <w:pPr>
        <w:pStyle w:val="ListBullet"/>
      </w:pPr>
      <w:r>
        <w:t>Deleting a message is not a substitute for revocation.</w:t>
      </w:r>
    </w:p>
    <w:p>
      <w:pPr>
        <w:pStyle w:val="Heading1"/>
      </w:pPr>
      <w:r>
        <w:t>14. A realistic 36-hour team plan</w:t>
      </w:r>
    </w:p>
    <w:p>
      <w:pPr>
        <w:pStyle w:val="Heading2"/>
      </w:pPr>
      <w:r>
        <w:t>14.1 Four complementary roles</w:t>
      </w:r>
    </w:p>
    <w:tbl>
      <w:tblPr>
        <w:tblStyle w:val="LightShading-Accent1"/>
        <w:tblW w:type="auto" w:w="0"/>
        <w:tblLook w:firstColumn="1" w:firstRow="1" w:lastColumn="0" w:lastRow="0" w:noHBand="0" w:noVBand="1" w:val="04A0"/>
      </w:tblPr>
      <w:tblGrid>
        <w:gridCol w:w="2484"/>
        <w:gridCol w:w="2484"/>
        <w:gridCol w:w="2484"/>
        <w:gridCol w:w="2484"/>
      </w:tblGrid>
      <w:tr>
        <w:trPr>
          <w:tblHeader/>
        </w:trPr>
        <w:tc>
          <w:tcPr>
            <w:tcW w:type="dxa" w:w="2484"/>
            <w:shd w:fill="17365D"/>
          </w:tcPr>
          <w:p>
            <w:r>
              <w:t>Member</w:t>
            </w:r>
          </w:p>
        </w:tc>
        <w:tc>
          <w:tcPr>
            <w:tcW w:type="dxa" w:w="2484"/>
            <w:shd w:fill="17365D"/>
          </w:tcPr>
          <w:p>
            <w:r>
              <w:t>Owns</w:t>
            </w:r>
          </w:p>
        </w:tc>
        <w:tc>
          <w:tcPr>
            <w:tcW w:type="dxa" w:w="2484"/>
            <w:shd w:fill="17365D"/>
          </w:tcPr>
          <w:p>
            <w:r>
              <w:t>Concrete deliverables</w:t>
            </w:r>
          </w:p>
        </w:tc>
        <w:tc>
          <w:tcPr>
            <w:tcW w:type="dxa" w:w="2484"/>
            <w:shd w:fill="17365D"/>
          </w:tcPr>
          <w:p>
            <w:r>
              <w:t>Suggested stack</w:t>
            </w:r>
          </w:p>
        </w:tc>
      </w:tr>
      <w:tr>
        <w:tc>
          <w:tcPr>
            <w:tcW w:type="dxa" w:w="2484"/>
          </w:tcPr>
          <w:p>
            <w:r>
              <w:t>1. Discovery and data</w:t>
            </w:r>
          </w:p>
        </w:tc>
        <w:tc>
          <w:tcPr>
            <w:tcW w:type="dxa" w:w="2484"/>
          </w:tcPr>
          <w:p>
            <w:r>
              <w:t>Scanner, corpus scope, labels, evaluation script.</w:t>
            </w:r>
          </w:p>
        </w:tc>
        <w:tc>
          <w:tcPr>
            <w:tcW w:type="dxa" w:w="2484"/>
          </w:tcPr>
          <w:p>
            <w:r>
              <w:t>AST/config/dependency rules; evidence schema; labelled sample; precision/recall counts with limitations.</w:t>
            </w:r>
          </w:p>
        </w:tc>
        <w:tc>
          <w:tcPr>
            <w:tcW w:type="dxa" w:w="2484"/>
          </w:tcPr>
          <w:p>
            <w:r>
              <w:t>Python, ast, pathlib, config parsers, CSV.</w:t>
            </w:r>
          </w:p>
        </w:tc>
      </w:tr>
      <w:tr>
        <w:tc>
          <w:tcPr>
            <w:tcW w:type="dxa" w:w="2484"/>
          </w:tcPr>
          <w:p>
            <w:r>
              <w:t>2. Migration planning</w:t>
            </w:r>
          </w:p>
        </w:tc>
        <w:tc>
          <w:tcPr>
            <w:tcW w:type="dxa" w:w="2484"/>
          </w:tcPr>
          <w:p>
            <w:r>
              <w:t>CBOM model, risk explanation, dependency graph, waves.</w:t>
            </w:r>
          </w:p>
        </w:tc>
        <w:tc>
          <w:tcPr>
            <w:tcW w:type="dxa" w:w="2484"/>
          </w:tcPr>
          <w:p>
            <w:r>
              <w:t>JSON schema; transparent scoring; dependency validation; schedule; optional QpiAI Opt adapter and baseline.</w:t>
            </w:r>
          </w:p>
        </w:tc>
        <w:tc>
          <w:tcPr>
            <w:tcW w:type="dxa" w:w="2484"/>
          </w:tcPr>
          <w:p>
            <w:r>
              <w:t>Python, NetworkX or graph code, dataclasses, QpiAI Opt if setup works.</w:t>
            </w:r>
          </w:p>
        </w:tc>
      </w:tr>
      <w:tr>
        <w:tc>
          <w:tcPr>
            <w:tcW w:type="dxa" w:w="2484"/>
          </w:tcPr>
          <w:p>
            <w:r>
              <w:t>3. Verification and traces</w:t>
            </w:r>
          </w:p>
        </w:tc>
        <w:tc>
          <w:tcPr>
            <w:tcW w:type="dxa" w:w="2484"/>
          </w:tcPr>
          <w:p>
            <w:r>
              <w:t>Protocol fixture, compatibility checks, trace capture, rollback evidence.</w:t>
            </w:r>
          </w:p>
        </w:tc>
        <w:tc>
          <w:tcPr>
            <w:tcW w:type="dxa" w:w="2484"/>
          </w:tcPr>
          <w:p>
            <w:r>
              <w:t>Before/after traces; compatibility matrix; positive and negative cases; overhead method; rollback procedure.</w:t>
            </w:r>
          </w:p>
        </w:tc>
        <w:tc>
          <w:tcPr>
            <w:tcW w:type="dxa" w:w="2484"/>
          </w:tcPr>
          <w:p>
            <w:r>
              <w:t>Python, trusted crypto/TLS library or labelled mock trace, JSON logging.</w:t>
            </w:r>
          </w:p>
        </w:tc>
      </w:tr>
      <w:tr>
        <w:tc>
          <w:tcPr>
            <w:tcW w:type="dxa" w:w="2484"/>
          </w:tcPr>
          <w:p>
            <w:r>
              <w:t>4. Product integration and story</w:t>
            </w:r>
          </w:p>
        </w:tc>
        <w:tc>
          <w:tcPr>
            <w:tcW w:type="dxa" w:w="2484"/>
          </w:tcPr>
          <w:p>
            <w:r>
              <w:t>CLI/dashboard, report, README, mentor narrative, integration.</w:t>
            </w:r>
          </w:p>
        </w:tc>
        <w:tc>
          <w:tcPr>
            <w:tcW w:type="dxa" w:w="2484"/>
          </w:tcPr>
          <w:p>
            <w:r>
              <w:t>Runnable workflow; sample output; architecture; setup guide; demo script; evidence pack.</w:t>
            </w:r>
          </w:p>
        </w:tc>
        <w:tc>
          <w:tcPr>
            <w:tcW w:type="dxa" w:w="2484"/>
          </w:tcPr>
          <w:p>
            <w:r>
              <w:t>Python CLI, Streamlit or lightweight HTML, Git, Markdown, Mermaid.</w:t>
            </w:r>
          </w:p>
        </w:tc>
      </w:tr>
    </w:tbl>
    <w:p>
      <w:r/>
    </w:p>
    <w:p>
      <w:r>
        <w:t>Each member should produce a tangible artifact by halfway through to make integration possible. Agree on the JSON finding schema and interfaces before parallel implementation. Avoid four isolated components with incompatible assumptions.</w:t>
      </w:r>
    </w:p>
    <w:p>
      <w:pPr>
        <w:pStyle w:val="Heading2"/>
      </w:pPr>
      <w:r>
        <w:t>14.2 Suggested time boxes</w:t>
      </w:r>
    </w:p>
    <w:tbl>
      <w:tblPr>
        <w:tblStyle w:val="LightShading-Accent1"/>
        <w:tblW w:type="auto" w:w="0"/>
        <w:tblLook w:firstColumn="1" w:firstRow="1" w:lastColumn="0" w:lastRow="0" w:noHBand="0" w:noVBand="1" w:val="04A0"/>
      </w:tblPr>
      <w:tblGrid>
        <w:gridCol w:w="4968"/>
        <w:gridCol w:w="4968"/>
      </w:tblGrid>
      <w:tr>
        <w:trPr>
          <w:tblHeader/>
        </w:trPr>
        <w:tc>
          <w:tcPr>
            <w:tcW w:type="dxa" w:w="4968"/>
            <w:shd w:fill="17365D"/>
          </w:tcPr>
          <w:p>
            <w:r>
              <w:t>Elapsed time</w:t>
            </w:r>
          </w:p>
        </w:tc>
        <w:tc>
          <w:tcPr>
            <w:tcW w:type="dxa" w:w="4968"/>
            <w:shd w:fill="17365D"/>
          </w:tcPr>
          <w:p>
            <w:r>
              <w:t>Team outcome</w:t>
            </w:r>
          </w:p>
        </w:tc>
      </w:tr>
      <w:tr>
        <w:tc>
          <w:tcPr>
            <w:tcW w:type="dxa" w:w="4968"/>
          </w:tcPr>
          <w:p>
            <w:r>
              <w:t>0-2 h</w:t>
            </w:r>
          </w:p>
        </w:tc>
        <w:tc>
          <w:tcPr>
            <w:tcW w:type="dxa" w:w="4968"/>
          </w:tcPr>
          <w:p>
            <w:r>
              <w:t>Agree scope, setup, sample input, success criteria, finding schema, owners, and secret-handling rules.</w:t>
            </w:r>
          </w:p>
        </w:tc>
      </w:tr>
      <w:tr>
        <w:tc>
          <w:tcPr>
            <w:tcW w:type="dxa" w:w="4968"/>
          </w:tcPr>
          <w:p>
            <w:r>
              <w:t>2-8 h</w:t>
            </w:r>
          </w:p>
        </w:tc>
        <w:tc>
          <w:tcPr>
            <w:tcW w:type="dxa" w:w="4968"/>
          </w:tcPr>
          <w:p>
            <w:r>
              <w:t>Build thinnest end-to-end path: scan one file, emit one evidence-backed finding, display/export it, and run one verification fixture.</w:t>
            </w:r>
          </w:p>
        </w:tc>
      </w:tr>
      <w:tr>
        <w:tc>
          <w:tcPr>
            <w:tcW w:type="dxa" w:w="4968"/>
          </w:tcPr>
          <w:p>
            <w:r>
              <w:t>8-16 h</w:t>
            </w:r>
          </w:p>
        </w:tc>
        <w:tc>
          <w:tcPr>
            <w:tcW w:type="dxa" w:w="4968"/>
          </w:tcPr>
          <w:p>
            <w:r>
              <w:t>Expand patterns, add config/dependency evidence, label first public sample, implement dependency planning, stabilize schema.</w:t>
            </w:r>
          </w:p>
        </w:tc>
      </w:tr>
      <w:tr>
        <w:tc>
          <w:tcPr>
            <w:tcW w:type="dxa" w:w="4968"/>
          </w:tcPr>
          <w:p>
            <w:r>
              <w:t>16-24 h</w:t>
            </w:r>
          </w:p>
        </w:tc>
        <w:tc>
          <w:tcPr>
            <w:tcW w:type="dxa" w:w="4968"/>
          </w:tcPr>
          <w:p>
            <w:r>
              <w:t>Integrate; record before/after traces; add compatibility and negative checks; implement rollback metadata; confirm metrics.</w:t>
            </w:r>
          </w:p>
        </w:tc>
      </w:tr>
      <w:tr>
        <w:tc>
          <w:tcPr>
            <w:tcW w:type="dxa" w:w="4968"/>
          </w:tcPr>
          <w:p>
            <w:r>
              <w:t>24-30 h</w:t>
            </w:r>
          </w:p>
        </w:tc>
        <w:tc>
          <w:tcPr>
            <w:tcW w:type="dxa" w:w="4968"/>
          </w:tcPr>
          <w:p>
            <w:r>
              <w:t>Run labelled evaluation; inspect false positives/negatives; freeze rules and data split; capture outputs and limits.</w:t>
            </w:r>
          </w:p>
        </w:tc>
      </w:tr>
      <w:tr>
        <w:tc>
          <w:tcPr>
            <w:tcW w:type="dxa" w:w="4968"/>
          </w:tcPr>
          <w:p>
            <w:r>
              <w:t>30-34 h</w:t>
            </w:r>
          </w:p>
        </w:tc>
        <w:tc>
          <w:tcPr>
            <w:tcW w:type="dxa" w:w="4968"/>
          </w:tcPr>
          <w:p>
            <w:r>
              <w:t>Polish README, architecture, demo path, mentor explanation, setup, and report. Run from a clean checkout.</w:t>
            </w:r>
          </w:p>
        </w:tc>
      </w:tr>
      <w:tr>
        <w:tc>
          <w:tcPr>
            <w:tcW w:type="dxa" w:w="4968"/>
          </w:tcPr>
          <w:p>
            <w:r>
              <w:t>34-36 h</w:t>
            </w:r>
          </w:p>
        </w:tc>
        <w:tc>
          <w:tcPr>
            <w:tcW w:type="dxa" w:w="4968"/>
          </w:tcPr>
          <w:p>
            <w:r>
              <w:t>Freeze scope; capture evidence; rehearse; prepare fallback; ensure no keys or private data are in artifacts.</w:t>
            </w:r>
          </w:p>
        </w:tc>
      </w:tr>
    </w:tbl>
    <w:p>
      <w:r/>
    </w:p>
    <w:p>
      <w:pPr>
        <w:pStyle w:val="Heading2"/>
      </w:pPr>
      <w:r>
        <w:t>14.3 Definition of done for the hackathon</w:t>
      </w:r>
    </w:p>
    <w:p>
      <w:pPr>
        <w:pStyle w:val="ListBullet"/>
      </w:pPr>
      <w:r>
        <w:t>A new teammate can follow the README and run the bounded demo.</w:t>
      </w:r>
    </w:p>
    <w:p>
      <w:pPr>
        <w:pStyle w:val="ListBullet"/>
      </w:pPr>
      <w:r>
        <w:t>At least one real public code/config sample is pinned and cited; synthetic fixtures are separately labelled.</w:t>
      </w:r>
    </w:p>
    <w:p>
      <w:pPr>
        <w:pStyle w:val="ListBullet"/>
      </w:pPr>
      <w:r>
        <w:t>Every displayed finding points to evidence and states confidence or uncertainty.</w:t>
      </w:r>
    </w:p>
    <w:p>
      <w:pPr>
        <w:pStyle w:val="ListBullet"/>
      </w:pPr>
      <w:r>
        <w:t>The migration plan explains dependencies and proposed wave order.</w:t>
      </w:r>
    </w:p>
    <w:p>
      <w:pPr>
        <w:pStyle w:val="ListBullet"/>
      </w:pPr>
      <w:r>
        <w:t>The trace is produced by a real supported implementation or clearly labelled as a mock.</w:t>
      </w:r>
    </w:p>
    <w:p>
      <w:pPr>
        <w:pStyle w:val="ListBullet"/>
      </w:pPr>
      <w:r>
        <w:t>Correctness, compatibility, overhead, and rollback have evidence or are explicitly marked not measured.</w:t>
      </w:r>
    </w:p>
    <w:p>
      <w:pPr>
        <w:pStyle w:val="ListBullet"/>
      </w:pPr>
      <w:r>
        <w:t>Precision and recall use a documented labelled set with counts.</w:t>
      </w:r>
    </w:p>
    <w:p>
      <w:pPr>
        <w:pStyle w:val="ListBullet"/>
      </w:pPr>
      <w:r>
        <w:t>The team can explain QpiAI's role and what it does not prove.</w:t>
      </w:r>
    </w:p>
    <w:p>
      <w:pPr>
        <w:pStyle w:val="ListBullet"/>
      </w:pPr>
      <w:r>
        <w:t>No secret credentials, unsupported benchmark scores, or production-readiness claims appear in the demo.</w:t>
      </w:r>
    </w:p>
    <w:p>
      <w:pPr>
        <w:pStyle w:val="Heading1"/>
      </w:pPr>
      <w:r>
        <w:t>15. Risks, boundaries, and claims</w:t>
      </w:r>
    </w:p>
    <w:p>
      <w:pPr>
        <w:pStyle w:val="Heading2"/>
      </w:pPr>
      <w:r>
        <w:t>15.1 Technical risks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shd w:fill="17365D"/>
          </w:tcPr>
          <w:p>
            <w:r>
              <w:t>Risk</w:t>
            </w:r>
          </w:p>
        </w:tc>
        <w:tc>
          <w:tcPr>
            <w:tcW w:type="dxa" w:w="3312"/>
            <w:shd w:fill="17365D"/>
          </w:tcPr>
          <w:p>
            <w:r>
              <w:t>Why it matters</w:t>
            </w:r>
          </w:p>
        </w:tc>
        <w:tc>
          <w:tcPr>
            <w:tcW w:type="dxa" w:w="3312"/>
            <w:shd w:fill="17365D"/>
          </w:tcPr>
          <w:p>
            <w:r>
              <w:t>Mitigation in the prototype</w:t>
            </w:r>
          </w:p>
        </w:tc>
      </w:tr>
      <w:tr>
        <w:tc>
          <w:tcPr>
            <w:tcW w:type="dxa" w:w="3312"/>
          </w:tcPr>
          <w:p>
            <w:r>
              <w:t>Scanner misses indirect use</w:t>
            </w:r>
          </w:p>
        </w:tc>
        <w:tc>
          <w:tcPr>
            <w:tcW w:type="dxa" w:w="3312"/>
          </w:tcPr>
          <w:p>
            <w:r>
              <w:t>Dynamic providers, native code, remote services, or configuration may hide usage.</w:t>
            </w:r>
          </w:p>
        </w:tc>
        <w:tc>
          <w:tcPr>
            <w:tcW w:type="dxa" w:w="3312"/>
          </w:tcPr>
          <w:p>
            <w:r>
              <w:t>State supported languages and files; record exclusions; include unknowns and manual review.</w:t>
            </w:r>
          </w:p>
        </w:tc>
      </w:tr>
      <w:tr>
        <w:tc>
          <w:tcPr>
            <w:tcW w:type="dxa" w:w="3312"/>
          </w:tcPr>
          <w:p>
            <w:r>
              <w:t>Incorrect purpose mapping</w:t>
            </w:r>
          </w:p>
        </w:tc>
        <w:tc>
          <w:tcPr>
            <w:tcW w:type="dxa" w:w="3312"/>
          </w:tcPr>
          <w:p>
            <w:r>
              <w:t>A signature could be mislabeled as key establishment or vice versa.</w:t>
            </w:r>
          </w:p>
        </w:tc>
        <w:tc>
          <w:tcPr>
            <w:tcW w:type="dxa" w:w="3312"/>
          </w:tcPr>
          <w:p>
            <w:r>
              <w:t>Separate algorithm clues from purpose; use contextual rules; review low confidence.</w:t>
            </w:r>
          </w:p>
        </w:tc>
      </w:tr>
      <w:tr>
        <w:tc>
          <w:tcPr>
            <w:tcW w:type="dxa" w:w="3312"/>
          </w:tcPr>
          <w:p>
            <w:r>
              <w:t>PQC incompatibility</w:t>
            </w:r>
          </w:p>
        </w:tc>
        <w:tc>
          <w:tcPr>
            <w:tcW w:type="dxa" w:w="3312"/>
          </w:tcPr>
          <w:p>
            <w:r>
              <w:t>Peers, certificates, protocols, or hardware may not support the candidate.</w:t>
            </w:r>
          </w:p>
        </w:tc>
        <w:tc>
          <w:tcPr>
            <w:tcW w:type="dxa" w:w="3312"/>
          </w:tcPr>
          <w:p>
            <w:r>
              <w:t>Compatibility matrix, paired testing, dependency graph, rollout gate.</w:t>
            </w:r>
          </w:p>
        </w:tc>
      </w:tr>
      <w:tr>
        <w:tc>
          <w:tcPr>
            <w:tcW w:type="dxa" w:w="3312"/>
          </w:tcPr>
          <w:p>
            <w:r>
              <w:t>Mock trace mistaken for real</w:t>
            </w:r>
          </w:p>
        </w:tc>
        <w:tc>
          <w:tcPr>
            <w:tcW w:type="dxa" w:w="3312"/>
          </w:tcPr>
          <w:p>
            <w:r>
              <w:t>A fabricated trace could imply unearned implementation.</w:t>
            </w:r>
          </w:p>
        </w:tc>
        <w:tc>
          <w:tcPr>
            <w:tcW w:type="dxa" w:w="3312"/>
          </w:tcPr>
          <w:p>
            <w:r>
              <w:t>Label mock traces in UI and report; prefer real library integration.</w:t>
            </w:r>
          </w:p>
        </w:tc>
      </w:tr>
      <w:tr>
        <w:tc>
          <w:tcPr>
            <w:tcW w:type="dxa" w:w="3312"/>
          </w:tcPr>
          <w:p>
            <w:r>
              <w:t>Bad performance comparison</w:t>
            </w:r>
          </w:p>
        </w:tc>
        <w:tc>
          <w:tcPr>
            <w:tcW w:type="dxa" w:w="3312"/>
          </w:tcPr>
          <w:p>
            <w:r>
              <w:t>Different hardware or network conditions can dominate timing.</w:t>
            </w:r>
          </w:p>
        </w:tc>
        <w:tc>
          <w:tcPr>
            <w:tcW w:type="dxa" w:w="3312"/>
          </w:tcPr>
          <w:p>
            <w:r>
              <w:t>Record setup; repeat measurements; report small-sample limits.</w:t>
            </w:r>
          </w:p>
        </w:tc>
      </w:tr>
      <w:tr>
        <w:tc>
          <w:tcPr>
            <w:tcW w:type="dxa" w:w="3312"/>
          </w:tcPr>
          <w:p>
            <w:r>
              <w:t>Leakage in evaluation</w:t>
            </w:r>
          </w:p>
        </w:tc>
        <w:tc>
          <w:tcPr>
            <w:tcW w:type="dxa" w:w="3312"/>
          </w:tcPr>
          <w:p>
            <w:r>
              <w:t>Related files in train and test can inflate results.</w:t>
            </w:r>
          </w:p>
        </w:tc>
        <w:tc>
          <w:tcPr>
            <w:tcW w:type="dxa" w:w="3312"/>
          </w:tcPr>
          <w:p>
            <w:r>
              <w:t>Split by repository; freeze holdout; document rule tuning.</w:t>
            </w:r>
          </w:p>
        </w:tc>
      </w:tr>
      <w:tr>
        <w:tc>
          <w:tcPr>
            <w:tcW w:type="dxa" w:w="3312"/>
          </w:tcPr>
          <w:p>
            <w:r>
              <w:t>Optimization tool unavailable</w:t>
            </w:r>
          </w:p>
        </w:tc>
        <w:tc>
          <w:tcPr>
            <w:tcW w:type="dxa" w:w="3312"/>
          </w:tcPr>
          <w:p>
            <w:r>
              <w:t>Authentication or network setup can fail within 36 hours.</w:t>
            </w:r>
          </w:p>
        </w:tc>
        <w:tc>
          <w:tcPr>
            <w:tcW w:type="dxa" w:w="3312"/>
          </w:tcPr>
          <w:p>
            <w:r>
              <w:t>Keep deterministic baseline planner and report solver status honestly.</w:t>
            </w:r>
          </w:p>
        </w:tc>
      </w:tr>
      <w:tr>
        <w:tc>
          <w:tcPr>
            <w:tcW w:type="dxa" w:w="3312"/>
          </w:tcPr>
          <w:p>
            <w:r>
              <w:t>Credential exposure</w:t>
            </w:r>
          </w:p>
        </w:tc>
        <w:tc>
          <w:tcPr>
            <w:tcW w:type="dxa" w:w="3312"/>
          </w:tcPr>
          <w:p>
            <w:r>
              <w:t>API keys grant service access and may be abused.</w:t>
            </w:r>
          </w:p>
        </w:tc>
        <w:tc>
          <w:tcPr>
            <w:tcW w:type="dxa" w:w="3312"/>
          </w:tcPr>
          <w:p>
            <w:r>
              <w:t>Revoke exposed keys, rotate, keep credentials local, redact logs, exclude env files.</w:t>
            </w:r>
          </w:p>
        </w:tc>
      </w:tr>
    </w:tbl>
    <w:p>
      <w:r/>
    </w:p>
    <w:p>
      <w:pPr>
        <w:pStyle w:val="Heading2"/>
      </w:pPr>
      <w:r>
        <w:t>15.2 Boundaries on claims</w:t>
      </w:r>
    </w:p>
    <w:p>
      <w:r>
        <w:t>A credible team can claim what the prototype demonstrated, for example: "The scanner identified these labelled patterns in evaluated files and linked each to its source location," or "The planner produced a schedule respecting dependency constraints in the demo instance." It should not say "we discovered all bank cryptography," "our tool makes a bank quantum-safe," "the migration is secure," or "quantum computers will break RSA next year."</w:t>
      </w:r>
    </w:p>
    <w:p>
      <w:r>
        <w:t>Use a claims ladder. Level one: code runs and emits output. Level two: output is reproducible on pinned inputs. Level three: tests validate specified behavior. Level four: independent labels support measured detection performance. Level five: a security review supports a bounded assurance claim. A hackathon MVP may reach levels one through four for a narrow scope; production assurance is unlikely.</w:t>
      </w:r>
    </w:p>
    <w:p>
      <w:pPr>
        <w:pStyle w:val="Heading2"/>
      </w:pPr>
      <w:r>
        <w:t>15.3 Human responsibility</w:t>
      </w:r>
    </w:p>
    <w:p>
      <w:r>
        <w:t>Cryptographic migration decisions affect confidentiality, identity, availability, compliance, and vendor relationships. The prototype makes a recommendation reviewable and provides evidence for a qualified engineer. It should not automatically decide a bank's security policy, select parameters without context, or deploy a production change.</w:t>
      </w:r>
    </w:p>
    <w:p>
      <w:pPr>
        <w:pStyle w:val="Heading2"/>
      </w:pPr>
      <w:r>
        <w:t>15.4 Responsible AI use</w:t>
      </w:r>
    </w:p>
    <w:p>
      <w:r>
        <w:t>An LLM can summarize source context, draft migration notes, or explain why a pattern might matter. It can also hallucinate API behavior, misclassify purpose, suggest unsafe changes, or expose sensitive code if used without controls. Keep the deterministic scanner and test suite authoritative. Treat generated text as a draft, log model/version where applicable, avoid secrets, and require human approval.</w:t>
      </w:r>
    </w:p>
    <w:p>
      <w:pPr>
        <w:pStyle w:val="Heading2"/>
      </w:pPr>
      <w:r>
        <w:t>15.5 Operational and governance considerations</w:t>
      </w:r>
    </w:p>
    <w:p>
      <w:r>
        <w:t>A production system would need access control, tenant boundaries, secure storage, audit retention, change management, privacy review, vendor governance, validated cryptographic modules where required, incident response, backups, monitoring, and a clear retention policy. These are outside the hackathon prototype unless specifically implemented and verified. Listing them shows awareness; it does not mean the prototype provides them.</w:t>
      </w:r>
    </w:p>
    <w:p>
      <w:pPr>
        <w:pStyle w:val="Heading1"/>
      </w:pPr>
      <w:r>
        <w:t>16. Mentor explanation and live demo</w:t>
      </w:r>
    </w:p>
    <w:p>
      <w:pPr>
        <w:pStyle w:val="Heading2"/>
      </w:pPr>
      <w:r>
        <w:t>16.1 A two-minute explanation</w:t>
      </w:r>
    </w:p>
    <w:p>
      <w:r>
        <w:t>"Banks rely on public-key cryptography for secure connections, certificates, and signatures. A future fault-tolerant quantum computer could threaten some widely used public-key systems, so organizations need to discover where those systems are used and migrate in a controlled way. The hard part is that algorithms are spread across code, libraries, configuration, certificates, vendors, and service dependencies.</w:t>
      </w:r>
    </w:p>
    <w:p>
      <w:r>
        <w:t>"CryptoShift is a migration-planning assistant. It scans a bounded source and configuration scope, creates evidence-backed findings, infers purpose with a confidence label, and builds a dependency-aware migration sequence. It distinguishes ML-KEM for key establishment from ML-DSA and SLH-DSA for signatures. Then it runs a verification gate using a compatibility matrix and before/after trace, records overhead and rollback evidence, and reports precision and recall on a labelled sample.</w:t>
      </w:r>
    </w:p>
    <w:p>
      <w:r>
        <w:t>"Our prototype is deliberately narrow. The sample data are pinned public repositories plus separately labelled fixtures. The tool does not claim complete bank-wide discovery, cryptographic security, or automatic deployment. Every recommendation is reviewable, and uncertain findings remain visible. If we use QpiAI Opt, it helps schedule constrained migration waves; it is not part of the PQC algorithm and does not prove a quantum advantage."</w:t>
      </w:r>
    </w:p>
    <w:p>
      <w:pPr>
        <w:pStyle w:val="Heading2"/>
      </w:pPr>
      <w:r>
        <w:t>16.2 A five-minute demo sequence</w:t>
      </w:r>
    </w:p>
    <w:p>
      <w:pPr>
        <w:pStyle w:val="ListNumber"/>
      </w:pPr>
      <w:r>
        <w:t>Show the README and state supported scope, dataset provenance, and what is synthetic.</w:t>
      </w:r>
    </w:p>
    <w:p>
      <w:pPr>
        <w:pStyle w:val="ListNumber"/>
      </w:pPr>
      <w:r>
        <w:t>Run the scanner on one pinned sample and open a finding. Point to file/line evidence, detector rule, purpose hypothesis, and confidence.</w:t>
      </w:r>
    </w:p>
    <w:p>
      <w:pPr>
        <w:pStyle w:val="ListNumber"/>
      </w:pPr>
      <w:r>
        <w:t>Show one uncertain finding and how the system routes it for human review rather than silently assigning a replacement.</w:t>
      </w:r>
    </w:p>
    <w:p>
      <w:pPr>
        <w:pStyle w:val="ListNumber"/>
      </w:pPr>
      <w:r>
        <w:t>Open the inventory or CBOM-like export and explain how evidence connects to owner, dependency, and migration status.</w:t>
      </w:r>
    </w:p>
    <w:p>
      <w:pPr>
        <w:pStyle w:val="ListNumber"/>
      </w:pPr>
      <w:r>
        <w:t>Show the dependency graph and proposed migration waves. Explain one prerequisite and the transparent score/objective.</w:t>
      </w:r>
    </w:p>
    <w:p>
      <w:pPr>
        <w:pStyle w:val="ListNumber"/>
      </w:pPr>
      <w:r>
        <w:t>Show the before/after trace or clearly labelled mock trace. Identify algorithm role, compatibility result, message size, and timing method.</w:t>
      </w:r>
    </w:p>
    <w:p>
      <w:pPr>
        <w:pStyle w:val="ListNumber"/>
      </w:pPr>
      <w:r>
        <w:t>Show one failed or negative test, such as a bad signature or unsupported peer, and explain why the gate blocks rollout.</w:t>
      </w:r>
    </w:p>
    <w:p>
      <w:pPr>
        <w:pStyle w:val="ListNumber"/>
      </w:pPr>
      <w:r>
        <w:t>Show the rollback record and verification log. Finish with measured precision/recall counts and sample limitations.</w:t>
      </w:r>
    </w:p>
    <w:p>
      <w:pPr>
        <w:pStyle w:val="Heading2"/>
      </w:pPr>
      <w:r>
        <w:t>16.3 Likely mentor questions and strong answers</w:t>
      </w:r>
    </w:p>
    <w:tbl>
      <w:tblPr>
        <w:tblStyle w:val="LightShading-Accent1"/>
        <w:tblW w:type="auto" w:w="0"/>
        <w:tblLook w:firstColumn="1" w:firstRow="1" w:lastColumn="0" w:lastRow="0" w:noHBand="0" w:noVBand="1" w:val="04A0"/>
      </w:tblPr>
      <w:tblGrid>
        <w:gridCol w:w="4968"/>
        <w:gridCol w:w="4968"/>
      </w:tblGrid>
      <w:tr>
        <w:trPr>
          <w:tblHeader/>
        </w:trPr>
        <w:tc>
          <w:tcPr>
            <w:tcW w:type="dxa" w:w="4968"/>
            <w:shd w:fill="17365D"/>
          </w:tcPr>
          <w:p>
            <w:r>
              <w:t>Question</w:t>
            </w:r>
          </w:p>
        </w:tc>
        <w:tc>
          <w:tcPr>
            <w:tcW w:type="dxa" w:w="4968"/>
            <w:shd w:fill="17365D"/>
          </w:tcPr>
          <w:p>
            <w:r>
              <w:t>Answer to prepare</w:t>
            </w:r>
          </w:p>
        </w:tc>
      </w:tr>
      <w:tr>
        <w:tc>
          <w:tcPr>
            <w:tcW w:type="dxa" w:w="4968"/>
          </w:tcPr>
          <w:p>
            <w:r>
              <w:t>Why is this a PQC project if it uses a quantum optimizer?</w:t>
            </w:r>
          </w:p>
        </w:tc>
        <w:tc>
          <w:tcPr>
            <w:tcW w:type="dxa" w:w="4968"/>
          </w:tcPr>
          <w:p>
            <w:r>
              <w:t>PQC runs on classical machines. Optimization is an optional scheduling aid and technically separate.</w:t>
            </w:r>
          </w:p>
        </w:tc>
      </w:tr>
      <w:tr>
        <w:tc>
          <w:tcPr>
            <w:tcW w:type="dxa" w:w="4968"/>
          </w:tcPr>
          <w:p>
            <w:r>
              <w:t>How do you know your scanner is correct?</w:t>
            </w:r>
          </w:p>
        </w:tc>
        <w:tc>
          <w:tcPr>
            <w:tcW w:type="dxa" w:w="4968"/>
          </w:tcPr>
          <w:p>
            <w:r>
              <w:t>We compare it with manually labelled examples, report TP/FP/FN counts, use a repository-level holdout, and state scope. Static analysis cannot prove complete discovery.</w:t>
            </w:r>
          </w:p>
        </w:tc>
      </w:tr>
      <w:tr>
        <w:tc>
          <w:tcPr>
            <w:tcW w:type="dxa" w:w="4968"/>
          </w:tcPr>
          <w:p>
            <w:r>
              <w:t>Why ML-KEM here and ML-DSA there?</w:t>
            </w:r>
          </w:p>
        </w:tc>
        <w:tc>
          <w:tcPr>
            <w:tcW w:type="dxa" w:w="4968"/>
          </w:tcPr>
          <w:p>
            <w:r>
              <w:t>We map by operation purpose. ML-KEM establishes shared keys. ML-DSA and SLH-DSA sign and verify data.</w:t>
            </w:r>
          </w:p>
        </w:tc>
      </w:tr>
      <w:tr>
        <w:tc>
          <w:tcPr>
            <w:tcW w:type="dxa" w:w="4968"/>
          </w:tcPr>
          <w:p>
            <w:r>
              <w:t>What is actually implemented?</w:t>
            </w:r>
          </w:p>
        </w:tc>
        <w:tc>
          <w:tcPr>
            <w:tcW w:type="dxa" w:w="4968"/>
          </w:tcPr>
          <w:p>
            <w:r>
              <w:t>Show the running workflow and artifacts. Separate working features from planned components and mocked behavior.</w:t>
            </w:r>
          </w:p>
        </w:tc>
      </w:tr>
      <w:tr>
        <w:tc>
          <w:tcPr>
            <w:tcW w:type="dxa" w:w="4968"/>
          </w:tcPr>
          <w:p>
            <w:r>
              <w:t>What dataset did you use?</w:t>
            </w:r>
          </w:p>
        </w:tc>
        <w:tc>
          <w:tcPr>
            <w:tcW w:type="dxa" w:w="4968"/>
          </w:tcPr>
          <w:p>
            <w:r>
              <w:t>Name public sources, revisions, language, file scope, label process, and whether fixtures are synthetic.</w:t>
            </w:r>
          </w:p>
        </w:tc>
      </w:tr>
      <w:tr>
        <w:tc>
          <w:tcPr>
            <w:tcW w:type="dxa" w:w="4968"/>
          </w:tcPr>
          <w:p>
            <w:r>
              <w:t>How do you handle false positives?</w:t>
            </w:r>
          </w:p>
        </w:tc>
        <w:tc>
          <w:tcPr>
            <w:tcW w:type="dxa" w:w="4968"/>
          </w:tcPr>
          <w:p>
            <w:r>
              <w:t>Every finding has evidence and confidence; reviewers can reject it with a reason; precision is measured on labelled data.</w:t>
            </w:r>
          </w:p>
        </w:tc>
      </w:tr>
      <w:tr>
        <w:tc>
          <w:tcPr>
            <w:tcW w:type="dxa" w:w="4968"/>
          </w:tcPr>
          <w:p>
            <w:r>
              <w:t>What if new configuration breaks clients?</w:t>
            </w:r>
          </w:p>
        </w:tc>
        <w:tc>
          <w:tcPr>
            <w:tcW w:type="dxa" w:w="4968"/>
          </w:tcPr>
          <w:p>
            <w:r>
              <w:t>The compatibility matrix and gate catch expected failures; rollout stops on triggers; rollback restores a supported configuration if policy permits.</w:t>
            </w:r>
          </w:p>
        </w:tc>
      </w:tr>
      <w:tr>
        <w:tc>
          <w:tcPr>
            <w:tcW w:type="dxa" w:w="4968"/>
          </w:tcPr>
          <w:p>
            <w:r>
              <w:t>Does the prototype make a bank quantum-safe?</w:t>
            </w:r>
          </w:p>
        </w:tc>
        <w:tc>
          <w:tcPr>
            <w:tcW w:type="dxa" w:w="4968"/>
          </w:tcPr>
          <w:p>
            <w:r>
              <w:t>No. It demonstrates a bounded discovery and planning workflow; production migration needs full coverage, reviewed implementations, interoperability, governance, and security review.</w:t>
            </w:r>
          </w:p>
        </w:tc>
      </w:tr>
      <w:tr>
        <w:tc>
          <w:tcPr>
            <w:tcW w:type="dxa" w:w="4968"/>
          </w:tcPr>
          <w:p>
            <w:r>
              <w:t>What did QpiAI contribute?</w:t>
            </w:r>
          </w:p>
        </w:tc>
        <w:tc>
          <w:tcPr>
            <w:tcW w:type="dxa" w:w="4968"/>
          </w:tcPr>
          <w:p>
            <w:r>
              <w:t>If integrated, it solved the documented scheduling instance under stated constraints. It does not provide PQC algorithms or prove security. If unfinished, say so and show the baseline.</w:t>
            </w:r>
          </w:p>
        </w:tc>
      </w:tr>
      <w:tr>
        <w:tc>
          <w:tcPr>
            <w:tcW w:type="dxa" w:w="4968"/>
          </w:tcPr>
          <w:p>
            <w:r>
              <w:t>How do you measure overhead?</w:t>
            </w:r>
          </w:p>
        </w:tc>
        <w:tc>
          <w:tcPr>
            <w:tcW w:type="dxa" w:w="4968"/>
          </w:tcPr>
          <w:p>
            <w:r>
              <w:t>Record implementation, environment, workload, repetitions, size, timing statistic, and limitations; do not generalize a laptop result.</w:t>
            </w:r>
          </w:p>
        </w:tc>
      </w:tr>
    </w:tbl>
    <w:p>
      <w:r/>
    </w:p>
    <w:p>
      <w:pPr>
        <w:pStyle w:val="Heading2"/>
      </w:pPr>
      <w:r>
        <w:t>16.4 Show evidence, not adjectives</w:t>
      </w:r>
    </w:p>
    <w:p>
      <w:r>
        <w:t>Words such as "secure," "fast," "accurate," and "production-ready" need measurable definitions. Prefer: "In this pinned sample of 4 repositories and 60 files, the scanner found 18 of 22 labelled in-scope instances; 3 of 20 flagged findings were false positives." Prefer: "On this machine, the median fixture handshake time changed from X to Y across N trials, using this library and configuration." If a result is not measured, say it is not measured.</w:t>
      </w:r>
    </w:p>
    <w:p>
      <w:pPr>
        <w:pStyle w:val="Heading1"/>
      </w:pPr>
      <w:r>
        <w:t>17. Glossary</w:t>
      </w:r>
    </w:p>
    <w:tbl>
      <w:tblPr>
        <w:tblStyle w:val="LightShading-Accent1"/>
        <w:tblW w:type="auto" w:w="0"/>
        <w:tblLook w:firstColumn="1" w:firstRow="1" w:lastColumn="0" w:lastRow="0" w:noHBand="0" w:noVBand="1" w:val="04A0"/>
      </w:tblPr>
      <w:tblGrid>
        <w:gridCol w:w="4968"/>
        <w:gridCol w:w="4968"/>
      </w:tblGrid>
      <w:tr>
        <w:trPr>
          <w:tblHeader/>
        </w:trPr>
        <w:tc>
          <w:tcPr>
            <w:tcW w:type="dxa" w:w="4968"/>
            <w:shd w:fill="17365D"/>
          </w:tcPr>
          <w:p>
            <w:r>
              <w:t>Term</w:t>
            </w:r>
          </w:p>
        </w:tc>
        <w:tc>
          <w:tcPr>
            <w:tcW w:type="dxa" w:w="4968"/>
            <w:shd w:fill="17365D"/>
          </w:tcPr>
          <w:p>
            <w:r>
              <w:t>Plain-language meaning</w:t>
            </w:r>
          </w:p>
        </w:tc>
      </w:tr>
      <w:tr>
        <w:tc>
          <w:tcPr>
            <w:tcW w:type="dxa" w:w="4968"/>
          </w:tcPr>
          <w:p>
            <w:r>
              <w:t>Algorithm</w:t>
            </w:r>
          </w:p>
        </w:tc>
        <w:tc>
          <w:tcPr>
            <w:tcW w:type="dxa" w:w="4968"/>
          </w:tcPr>
          <w:p>
            <w:r>
              <w:t>A defined method for performing a cryptographic operation.</w:t>
            </w:r>
          </w:p>
        </w:tc>
      </w:tr>
      <w:tr>
        <w:tc>
          <w:tcPr>
            <w:tcW w:type="dxa" w:w="4968"/>
          </w:tcPr>
          <w:p>
            <w:r>
              <w:t>Asymmetric/public-key cryptography</w:t>
            </w:r>
          </w:p>
        </w:tc>
        <w:tc>
          <w:tcPr>
            <w:tcW w:type="dxa" w:w="4968"/>
          </w:tcPr>
          <w:p>
            <w:r>
              <w:t>A system using related public and private keys for key establishment or signatures.</w:t>
            </w:r>
          </w:p>
        </w:tc>
      </w:tr>
      <w:tr>
        <w:tc>
          <w:tcPr>
            <w:tcW w:type="dxa" w:w="4968"/>
          </w:tcPr>
          <w:p>
            <w:r>
              <w:t>CBOM</w:t>
            </w:r>
          </w:p>
        </w:tc>
        <w:tc>
          <w:tcPr>
            <w:tcW w:type="dxa" w:w="4968"/>
          </w:tcPr>
          <w:p>
            <w:r>
              <w:t>Cryptographic Bill of Materials: inventory of cryptographic assets and relationships.</w:t>
            </w:r>
          </w:p>
        </w:tc>
      </w:tr>
      <w:tr>
        <w:tc>
          <w:tcPr>
            <w:tcW w:type="dxa" w:w="4968"/>
          </w:tcPr>
          <w:p>
            <w:r>
              <w:t>Certificate</w:t>
            </w:r>
          </w:p>
        </w:tc>
        <w:tc>
          <w:tcPr>
            <w:tcW w:type="dxa" w:w="4968"/>
          </w:tcPr>
          <w:p>
            <w:r>
              <w:t>A signed statement binding a public key to an identity under a trust system.</w:t>
            </w:r>
          </w:p>
        </w:tc>
      </w:tr>
      <w:tr>
        <w:tc>
          <w:tcPr>
            <w:tcW w:type="dxa" w:w="4968"/>
          </w:tcPr>
          <w:p>
            <w:r>
              <w:t>Confidentiality</w:t>
            </w:r>
          </w:p>
        </w:tc>
        <w:tc>
          <w:tcPr>
            <w:tcW w:type="dxa" w:w="4968"/>
          </w:tcPr>
          <w:p>
            <w:r>
              <w:t>Protection against unauthorized reading of information.</w:t>
            </w:r>
          </w:p>
        </w:tc>
      </w:tr>
      <w:tr>
        <w:tc>
          <w:tcPr>
            <w:tcW w:type="dxa" w:w="4968"/>
          </w:tcPr>
          <w:p>
            <w:r>
              <w:t>Crypto agility</w:t>
            </w:r>
          </w:p>
        </w:tc>
        <w:tc>
          <w:tcPr>
            <w:tcW w:type="dxa" w:w="4968"/>
          </w:tcPr>
          <w:p>
            <w:r>
              <w:t>Ability to change cryptographic mechanisms safely through modular design, testing, and governance.</w:t>
            </w:r>
          </w:p>
        </w:tc>
      </w:tr>
      <w:tr>
        <w:tc>
          <w:tcPr>
            <w:tcW w:type="dxa" w:w="4968"/>
          </w:tcPr>
          <w:p>
            <w:r>
              <w:t>Cryptographic primitive</w:t>
            </w:r>
          </w:p>
        </w:tc>
        <w:tc>
          <w:tcPr>
            <w:tcW w:type="dxa" w:w="4968"/>
          </w:tcPr>
          <w:p>
            <w:r>
              <w:t>A basic building block, such as encryption, hash, KEM, or signature.</w:t>
            </w:r>
          </w:p>
        </w:tc>
      </w:tr>
      <w:tr>
        <w:tc>
          <w:tcPr>
            <w:tcW w:type="dxa" w:w="4968"/>
          </w:tcPr>
          <w:p>
            <w:r>
              <w:t>Decapsulation</w:t>
            </w:r>
          </w:p>
        </w:tc>
        <w:tc>
          <w:tcPr>
            <w:tcW w:type="dxa" w:w="4968"/>
          </w:tcPr>
          <w:p>
            <w:r>
              <w:t>ML-KEM operation recovering a shared secret from an encapsulation with the private key.</w:t>
            </w:r>
          </w:p>
        </w:tc>
      </w:tr>
      <w:tr>
        <w:tc>
          <w:tcPr>
            <w:tcW w:type="dxa" w:w="4968"/>
          </w:tcPr>
          <w:p>
            <w:r>
              <w:t>Dependency graph</w:t>
            </w:r>
          </w:p>
        </w:tc>
        <w:tc>
          <w:tcPr>
            <w:tcW w:type="dxa" w:w="4968"/>
          </w:tcPr>
          <w:p>
            <w:r>
              <w:t>Components and prerequisite relationships used to plan migration order.</w:t>
            </w:r>
          </w:p>
        </w:tc>
      </w:tr>
      <w:tr>
        <w:tc>
          <w:tcPr>
            <w:tcW w:type="dxa" w:w="4968"/>
          </w:tcPr>
          <w:p>
            <w:r>
              <w:t>Digital signature</w:t>
            </w:r>
          </w:p>
        </w:tc>
        <w:tc>
          <w:tcPr>
            <w:tcW w:type="dxa" w:w="4968"/>
          </w:tcPr>
          <w:p>
            <w:r>
              <w:t>A value produced with a signing key and checked with a verification key to detect changes and authenticate signer under policy.</w:t>
            </w:r>
          </w:p>
        </w:tc>
      </w:tr>
      <w:tr>
        <w:tc>
          <w:tcPr>
            <w:tcW w:type="dxa" w:w="4968"/>
          </w:tcPr>
          <w:p>
            <w:r>
              <w:t>Encapsulation</w:t>
            </w:r>
          </w:p>
        </w:tc>
        <w:tc>
          <w:tcPr>
            <w:tcW w:type="dxa" w:w="4968"/>
          </w:tcPr>
          <w:p>
            <w:r>
              <w:t>ML-KEM operation creating a shared secret and encapsulation value using recipient public key.</w:t>
            </w:r>
          </w:p>
        </w:tc>
      </w:tr>
      <w:tr>
        <w:tc>
          <w:tcPr>
            <w:tcW w:type="dxa" w:w="4968"/>
          </w:tcPr>
          <w:p>
            <w:r>
              <w:t>False negative</w:t>
            </w:r>
          </w:p>
        </w:tc>
        <w:tc>
          <w:tcPr>
            <w:tcW w:type="dxa" w:w="4968"/>
          </w:tcPr>
          <w:p>
            <w:r>
              <w:t>An in-scope use the scanner failed to detect.</w:t>
            </w:r>
          </w:p>
        </w:tc>
      </w:tr>
      <w:tr>
        <w:tc>
          <w:tcPr>
            <w:tcW w:type="dxa" w:w="4968"/>
          </w:tcPr>
          <w:p>
            <w:r>
              <w:t>False positive</w:t>
            </w:r>
          </w:p>
        </w:tc>
        <w:tc>
          <w:tcPr>
            <w:tcW w:type="dxa" w:w="4968"/>
          </w:tcPr>
          <w:p>
            <w:r>
              <w:t>A finding that is not a true in-scope use according to reference labels.</w:t>
            </w:r>
          </w:p>
        </w:tc>
      </w:tr>
      <w:tr>
        <w:tc>
          <w:tcPr>
            <w:tcW w:type="dxa" w:w="4968"/>
          </w:tcPr>
          <w:p>
            <w:r>
              <w:t>FIPS</w:t>
            </w:r>
          </w:p>
        </w:tc>
        <w:tc>
          <w:tcPr>
            <w:tcW w:type="dxa" w:w="4968"/>
          </w:tcPr>
          <w:p>
            <w:r>
              <w:t>Federal Information Processing Standard, a NIST publication designation.</w:t>
            </w:r>
          </w:p>
        </w:tc>
      </w:tr>
      <w:tr>
        <w:tc>
          <w:tcPr>
            <w:tcW w:type="dxa" w:w="4968"/>
          </w:tcPr>
          <w:p>
            <w:r>
              <w:t>Harvest now, decrypt later</w:t>
            </w:r>
          </w:p>
        </w:tc>
        <w:tc>
          <w:tcPr>
            <w:tcW w:type="dxa" w:w="4968"/>
          </w:tcPr>
          <w:p>
            <w:r>
              <w:t>Collect encrypted data now with the hope of decrypting it later if capabilities improve.</w:t>
            </w:r>
          </w:p>
        </w:tc>
      </w:tr>
      <w:tr>
        <w:tc>
          <w:tcPr>
            <w:tcW w:type="dxa" w:w="4968"/>
          </w:tcPr>
          <w:p>
            <w:r>
              <w:t>Hybrid cryptography</w:t>
            </w:r>
          </w:p>
        </w:tc>
        <w:tc>
          <w:tcPr>
            <w:tcW w:type="dxa" w:w="4968"/>
          </w:tcPr>
          <w:p>
            <w:r>
              <w:t>A deployment combining mechanisms under an explicit protocol and combiner design.</w:t>
            </w:r>
          </w:p>
        </w:tc>
      </w:tr>
      <w:tr>
        <w:tc>
          <w:tcPr>
            <w:tcW w:type="dxa" w:w="4968"/>
          </w:tcPr>
          <w:p>
            <w:r>
              <w:t>Integrity</w:t>
            </w:r>
          </w:p>
        </w:tc>
        <w:tc>
          <w:tcPr>
            <w:tcW w:type="dxa" w:w="4968"/>
          </w:tcPr>
          <w:p>
            <w:r>
              <w:t>Assurance that unauthorized changes can be detected.</w:t>
            </w:r>
          </w:p>
        </w:tc>
      </w:tr>
      <w:tr>
        <w:tc>
          <w:tcPr>
            <w:tcW w:type="dxa" w:w="4968"/>
          </w:tcPr>
          <w:p>
            <w:r>
              <w:t>Key establishment</w:t>
            </w:r>
          </w:p>
        </w:tc>
        <w:tc>
          <w:tcPr>
            <w:tcW w:type="dxa" w:w="4968"/>
          </w:tcPr>
          <w:p>
            <w:r>
              <w:t>Process by which parties establish shared secret material for later use.</w:t>
            </w:r>
          </w:p>
        </w:tc>
      </w:tr>
      <w:tr>
        <w:tc>
          <w:tcPr>
            <w:tcW w:type="dxa" w:w="4968"/>
          </w:tcPr>
          <w:p>
            <w:r>
              <w:t>KEM</w:t>
            </w:r>
          </w:p>
        </w:tc>
        <w:tc>
          <w:tcPr>
            <w:tcW w:type="dxa" w:w="4968"/>
          </w:tcPr>
          <w:p>
            <w:r>
              <w:t>Key-encapsulation mechanism, used to establish a shared secret over a public channel.</w:t>
            </w:r>
          </w:p>
        </w:tc>
      </w:tr>
      <w:tr>
        <w:tc>
          <w:tcPr>
            <w:tcW w:type="dxa" w:w="4968"/>
          </w:tcPr>
          <w:p>
            <w:r>
              <w:t>ML-DSA</w:t>
            </w:r>
          </w:p>
        </w:tc>
        <w:tc>
          <w:tcPr>
            <w:tcW w:type="dxa" w:w="4968"/>
          </w:tcPr>
          <w:p>
            <w:r>
              <w:t>NIST module-lattice-based digital signature algorithm in FIPS 204.</w:t>
            </w:r>
          </w:p>
        </w:tc>
      </w:tr>
      <w:tr>
        <w:tc>
          <w:tcPr>
            <w:tcW w:type="dxa" w:w="4968"/>
          </w:tcPr>
          <w:p>
            <w:r>
              <w:t>ML-KEM</w:t>
            </w:r>
          </w:p>
        </w:tc>
        <w:tc>
          <w:tcPr>
            <w:tcW w:type="dxa" w:w="4968"/>
          </w:tcPr>
          <w:p>
            <w:r>
              <w:t>NIST module-lattice-based key-encapsulation mechanism in FIPS 203.</w:t>
            </w:r>
          </w:p>
        </w:tc>
      </w:tr>
      <w:tr>
        <w:tc>
          <w:tcPr>
            <w:tcW w:type="dxa" w:w="4968"/>
          </w:tcPr>
          <w:p>
            <w:r>
              <w:t>PQC</w:t>
            </w:r>
          </w:p>
        </w:tc>
        <w:tc>
          <w:tcPr>
            <w:tcW w:type="dxa" w:w="4968"/>
          </w:tcPr>
          <w:p>
            <w:r>
              <w:t>Post-quantum cryptography designed to resist known classical and quantum attack strategies and run on conventional computers.</w:t>
            </w:r>
          </w:p>
        </w:tc>
      </w:tr>
      <w:tr>
        <w:tc>
          <w:tcPr>
            <w:tcW w:type="dxa" w:w="4968"/>
          </w:tcPr>
          <w:p>
            <w:r>
              <w:t>Precision</w:t>
            </w:r>
          </w:p>
        </w:tc>
        <w:tc>
          <w:tcPr>
            <w:tcW w:type="dxa" w:w="4968"/>
          </w:tcPr>
          <w:p>
            <w:r>
              <w:t>True positives divided by all scanner positives; how many findings are correct.</w:t>
            </w:r>
          </w:p>
        </w:tc>
      </w:tr>
      <w:tr>
        <w:tc>
          <w:tcPr>
            <w:tcW w:type="dxa" w:w="4968"/>
          </w:tcPr>
          <w:p>
            <w:r>
              <w:t>Recall</w:t>
            </w:r>
          </w:p>
        </w:tc>
        <w:tc>
          <w:tcPr>
            <w:tcW w:type="dxa" w:w="4968"/>
          </w:tcPr>
          <w:p>
            <w:r>
              <w:t>True positives divided by all labelled positives; how many in-scope uses were found.</w:t>
            </w:r>
          </w:p>
        </w:tc>
      </w:tr>
      <w:tr>
        <w:tc>
          <w:tcPr>
            <w:tcW w:type="dxa" w:w="4968"/>
          </w:tcPr>
          <w:p>
            <w:r>
              <w:t>Rollback</w:t>
            </w:r>
          </w:p>
        </w:tc>
        <w:tc>
          <w:tcPr>
            <w:tcW w:type="dxa" w:w="4968"/>
          </w:tcPr>
          <w:p>
            <w:r>
              <w:t>Planned return to a known-good version or configuration when criteria fail.</w:t>
            </w:r>
          </w:p>
        </w:tc>
      </w:tr>
      <w:tr>
        <w:tc>
          <w:tcPr>
            <w:tcW w:type="dxa" w:w="4968"/>
          </w:tcPr>
          <w:p>
            <w:r>
              <w:t>SLH-DSA</w:t>
            </w:r>
          </w:p>
        </w:tc>
        <w:tc>
          <w:tcPr>
            <w:tcW w:type="dxa" w:w="4968"/>
          </w:tcPr>
          <w:p>
            <w:r>
              <w:t>NIST stateless hash-based digital signature algorithm in FIPS 205.</w:t>
            </w:r>
          </w:p>
        </w:tc>
      </w:tr>
      <w:tr>
        <w:tc>
          <w:tcPr>
            <w:tcW w:type="dxa" w:w="4968"/>
          </w:tcPr>
          <w:p>
            <w:r>
              <w:t>Static analysis</w:t>
            </w:r>
          </w:p>
        </w:tc>
        <w:tc>
          <w:tcPr>
            <w:tcW w:type="dxa" w:w="4968"/>
          </w:tcPr>
          <w:p>
            <w:r>
              <w:t>Inspection of source or configuration without executing the program.</w:t>
            </w:r>
          </w:p>
        </w:tc>
      </w:tr>
      <w:tr>
        <w:tc>
          <w:tcPr>
            <w:tcW w:type="dxa" w:w="4968"/>
          </w:tcPr>
          <w:p>
            <w:r>
              <w:t>TP / FP / FN</w:t>
            </w:r>
          </w:p>
        </w:tc>
        <w:tc>
          <w:tcPr>
            <w:tcW w:type="dxa" w:w="4968"/>
          </w:tcPr>
          <w:p>
            <w:r>
              <w:t>True positive, false positive, and false negative counts used in detector evaluation.</w:t>
            </w:r>
          </w:p>
        </w:tc>
      </w:tr>
      <w:tr>
        <w:tc>
          <w:tcPr>
            <w:tcW w:type="dxa" w:w="4968"/>
          </w:tcPr>
          <w:p>
            <w:r>
              <w:t>Verification gate</w:t>
            </w:r>
          </w:p>
        </w:tc>
        <w:tc>
          <w:tcPr>
            <w:tcW w:type="dxa" w:w="4968"/>
          </w:tcPr>
          <w:p>
            <w:r>
              <w:t>Conditions that must pass before a migration advances.</w:t>
            </w:r>
          </w:p>
        </w:tc>
      </w:tr>
    </w:tbl>
    <w:p>
      <w:r/>
    </w:p>
    <w:p>
      <w:pPr>
        <w:pStyle w:val="Heading1"/>
      </w:pPr>
      <w:r>
        <w:t>18. References</w:t>
      </w:r>
    </w:p>
    <w:p>
      <w:r>
        <w:t>Primary standards and institutional migration material. These links support technical descriptions in this guide; implementation choices should consult the current publication and errata at the time of work.</w:t>
      </w:r>
    </w:p>
    <w:p>
      <w:pPr>
        <w:pStyle w:val="ListBullet"/>
      </w:pPr>
      <w:r>
        <w:t>NIST FIPS 203, Module-Lattice-Based Key-Encapsulation Mechanism Standard: https://csrc.nist.gov/pubs/fips/203/final - Defines ML-KEM and parameter sets.</w:t>
      </w:r>
    </w:p>
    <w:p>
      <w:pPr>
        <w:pStyle w:val="ListBullet"/>
      </w:pPr>
      <w:r>
        <w:t>NIST FIPS 204, Module-Lattice-Based Digital Signature Standard: https://csrc.nist.gov/pubs/fips/204/final - Defines ML-DSA.</w:t>
      </w:r>
    </w:p>
    <w:p>
      <w:pPr>
        <w:pStyle w:val="ListBullet"/>
      </w:pPr>
      <w:r>
        <w:t>NIST FIPS 205, Stateless Hash-Based Digital Signature Standard: https://csrc.nist.gov/pubs/fips/205/final - Defines SLH-DSA.</w:t>
      </w:r>
    </w:p>
    <w:p>
      <w:pPr>
        <w:pStyle w:val="ListBullet"/>
      </w:pPr>
      <w:r>
        <w:t>NIST Post-Quantum Cryptography project: https://csrc.nist.gov/projects/post-quantum-cryptography - Overview of standards and migration context.</w:t>
      </w:r>
    </w:p>
    <w:p>
      <w:pPr>
        <w:pStyle w:val="ListBullet"/>
      </w:pPr>
      <w:r>
        <w:t>NIST SP 800-227, Recommendations for Key-Encapsulation Mechanisms: https://csrc.nist.gov/pubs/sp/800/227/final - Recommendations on KEM properties and use.</w:t>
      </w:r>
    </w:p>
    <w:p>
      <w:pPr>
        <w:pStyle w:val="ListBullet"/>
      </w:pPr>
      <w:r>
        <w:t>NIST NCCoE Migration to PQC project: https://www.nccoe.nist.gov/applied-cryptography/migration-to-pqc - Migration publications, including discovery and interoperability work.</w:t>
      </w:r>
    </w:p>
    <w:p>
      <w:pPr>
        <w:pStyle w:val="ListBullet"/>
      </w:pPr>
      <w:r>
        <w:t>NIST NCCoE SP 1800-38B preliminary draft, Cryptographic Discovery: https://www.nccoe.nist.gov/sites/default/files/2023-12/pqc-migration-nist-sp-1800-38b-preliminary-draft.pdf - Discovery tool approach and architecture; preliminary draft.</w:t>
      </w:r>
    </w:p>
    <w:p>
      <w:pPr>
        <w:pStyle w:val="ListBullet"/>
      </w:pPr>
      <w:r>
        <w:t>QpiAI Opt repository: https://github.com/qpiai/qpiai-opt - Official package repository; consult current README and terms.</w:t>
      </w:r>
    </w:p>
    <w:p>
      <w:pPr>
        <w:pStyle w:val="ListBullet"/>
      </w:pPr>
      <w:r>
        <w:t>QpiAI Quantum SDK repository: https://github.com/qpiai/quantum-sdk - Official SDK repository; use only for a relevant experiment.</w:t>
      </w:r>
    </w:p>
    <w:p>
      <w:pPr>
        <w:pStyle w:val="ListBullet"/>
      </w:pPr>
      <w:r>
        <w:t>QpiAI QCloud documentation: https://docs.qcloud.qpiai.tech/ - Official platform documentation; check current account and API setup.</w:t>
      </w:r>
    </w:p>
    <w:p>
      <w:pPr>
        <w:pStyle w:val="Heading1"/>
      </w:pPr>
      <w:r>
        <w:t>Closing note</w:t>
      </w:r>
    </w:p>
    <w:p>
      <w:r>
        <w:t>CryptoShift's strongest contribution is a disciplined migration workflow: evidence before assumptions, purpose before mapping, dependencies before schedule, tests before approval, and rollback before rollout. A small prototype can demonstrate that workflow credibly when its scope, data, measurements, and limits are visible. The mentor should leave understanding both why PQC migration matters and exactly what this team has built to make one part of that migration easier.</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8"/>
        <w:sz w:val="16"/>
      </w:rPr>
      <w:t>Team learning guide | Verify current standards and implementation guidance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978"/>
        <w:sz w:val="16"/>
      </w:rPr>
      <w:t>CryptoShift | PQC-01 Concept and Solution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0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CryptoShift PQC Concept and Solution Guide</dc:title>
  <dc:subject>Beginner-friendly explanation of post-quantum cryptography and the CryptoShift migration-planning prototype</dc:subject>
  <dc:creator>CryptoShift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