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79"/>
          <w:sz w:val="50"/>
          <w:szCs w:val="50"/>
        </w:rPr>
        <w:t xml:space="preserve">The 72-Hour Warning</w:t>
      </w:r>
    </w:p>
    <w:p>
      <w:pPr>
        <w:pBdr>
          <w:bottom w:val="single" w:color="1F4E79" w:sz="12" w:space="6"/>
        </w:pBdr>
        <w:spacing w:after="110"/>
      </w:pPr>
      <w:r>
        <w:rPr>
          <w:rFonts w:ascii="Calibri" w:cs="Calibri" w:eastAsia="Calibri" w:hAnsi="Calibri"/>
          <w:color w:val="14181D"/>
          <w:sz w:val="24"/>
          <w:szCs w:val="24"/>
        </w:rPr>
        <w:t xml:space="preserve">An urban digital twin that predicts how one failure becomes many — and says what to do about it, and by when</w:t>
      </w:r>
    </w:p>
    <w:p>
      <w:pPr>
        <w:spacing w:after="130" w:before="0" w:line="250"/>
      </w:pPr>
      <w:r>
        <w:rPr>
          <w:rFonts w:ascii="Calibri" w:cs="Calibri" w:eastAsia="Calibri" w:hAnsi="Calibri"/>
          <w:color w:val="14181D"/>
          <w:sz w:val="20"/>
          <w:szCs w:val="20"/>
        </w:rPr>
        <w:t xml:space="preserve">A working prototype for </w:t>
      </w:r>
      <w:r>
        <w:rPr>
          <w:rFonts w:ascii="Calibri" w:cs="Calibri" w:eastAsia="Calibri" w:hAnsi="Calibri"/>
          <w:b/>
          <w:bCs/>
          <w:color w:val="14181D"/>
          <w:sz w:val="20"/>
          <w:szCs w:val="20"/>
        </w:rPr>
        <w:t xml:space="preserve">Nagpur, Maharashtra</w:t>
      </w:r>
      <w:r>
        <w:rPr>
          <w:rFonts w:ascii="Calibri" w:cs="Calibri" w:eastAsia="Calibri" w:hAnsi="Calibri"/>
          <w:color w:val="14181D"/>
          <w:sz w:val="20"/>
          <w:szCs w:val="20"/>
        </w:rPr>
        <w:t xml:space="preserve"> and </w:t>
      </w:r>
      <w:r>
        <w:rPr>
          <w:rFonts w:ascii="Calibri" w:cs="Calibri" w:eastAsia="Calibri" w:hAnsi="Calibri"/>
          <w:b/>
          <w:bCs/>
          <w:color w:val="14181D"/>
          <w:sz w:val="20"/>
          <w:szCs w:val="20"/>
        </w:rPr>
        <w:t xml:space="preserve">Raleigh, North Carolina</w:t>
      </w:r>
      <w:r>
        <w:rPr>
          <w:rFonts w:ascii="Calibri" w:cs="Calibri" w:eastAsia="Calibri" w:hAnsi="Calibri"/>
          <w:color w:val="14181D"/>
          <w:sz w:val="20"/>
          <w:szCs w:val="20"/>
        </w:rPr>
        <w:t xml:space="preserve">. The city model is real OpenStreetMap data; the cascade intelligence is an analytical layer that forecasts how a flood, a grid fault, a toxic release or a crowd propagates through drainage, roads, power, telecom, emergency response and hospitals up to 72 hours ahead.</w:t>
      </w:r>
    </w:p>
    <w:p>
      <w:pPr>
        <w:spacing w:after="55" w:before="0"/>
      </w:pPr>
      <w:r>
        <w:rPr>
          <w:rFonts w:ascii="Calibri" w:cs="Calibri" w:eastAsia="Calibri" w:hAnsi="Calibri"/>
          <w:b/>
          <w:bCs/>
          <w:color w:val="55616F"/>
          <w:spacing w:val="24"/>
          <w:sz w:val="15"/>
          <w:szCs w:val="15"/>
        </w:rPr>
        <w:t xml:space="preserve">EXECUTIVE SUMMARY</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647"/>
        <w:gridCol w:w="7533"/>
      </w:tblGrid>
      <w:tr>
        <w:trPr>
          <w:cantSplit/>
          <w:tblHeader/>
        </w:trPr>
        <w:tc>
          <w:tcPr>
            <w:tcW w:type="dxa" w:w="2647"/>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7"/>
                <w:szCs w:val="17"/>
              </w:rPr>
              <w:t xml:space="preserve">Question</w:t>
            </w:r>
          </w:p>
        </w:tc>
        <w:tc>
          <w:tcPr>
            <w:tcW w:type="dxa" w:w="7533"/>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7"/>
                <w:szCs w:val="17"/>
              </w:rPr>
              <w:t xml:space="preserve">Answer</w:t>
            </w:r>
          </w:p>
        </w:tc>
      </w:tr>
      <w:tr>
        <w:trPr>
          <w:cantSplit/>
        </w:trPr>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What is broken</w:t>
            </w:r>
          </w:p>
        </w:tc>
        <w:tc>
          <w:tcPr>
            <w:tcW w:type="dxa" w:w="753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City emergencies are forecast system by system. Nobody forecasts the handoffs between systems, which is where the harm compounds.</w:t>
            </w:r>
          </w:p>
        </w:tc>
      </w:tr>
      <w:tr>
        <w:trPr>
          <w:cantSplit/>
        </w:trPr>
        <w:tc>
          <w:tcPr>
            <w:tcW w:type="dxa" w:w="264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Who it hurts</w:t>
            </w:r>
          </w:p>
        </w:tc>
        <w:tc>
          <w:tcPr>
            <w:tcW w:type="dxa" w:w="753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City emergency operations centres, municipal utilities, hospital and EMS controllers, and the residents whose warning never arrives.</w:t>
            </w:r>
          </w:p>
        </w:tc>
      </w:tr>
      <w:tr>
        <w:trPr>
          <w:cantSplit/>
        </w:trPr>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What we built</w:t>
            </w:r>
          </w:p>
        </w:tc>
        <w:tc>
          <w:tcPr>
            <w:tcW w:type="dxa" w:w="753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A digital twin with a learned dependency graph, a 200-member ensemble, a crisis registry, a counterfactual planner and multilingual public warnings — all in one browser page.</w:t>
            </w:r>
          </w:p>
        </w:tc>
      </w:tr>
      <w:tr>
        <w:trPr>
          <w:cantSplit/>
        </w:trPr>
        <w:tc>
          <w:tcPr>
            <w:tcW w:type="dxa" w:w="264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Our moat</w:t>
            </w:r>
          </w:p>
        </w:tc>
        <w:tc>
          <w:tcPr>
            <w:tcW w:type="dxa" w:w="753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The dependency graph is learned from sensor streams, not written down; every number is reproducible from a seeded simulation; and the system states a decision deadline, not just a risk score.</w:t>
            </w:r>
          </w:p>
        </w:tc>
      </w:tr>
      <w:tr>
        <w:trPr>
          <w:cantSplit/>
        </w:trPr>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Status</w:t>
            </w:r>
          </w:p>
        </w:tc>
        <w:tc>
          <w:tcPr>
            <w:tcW w:type="dxa" w:w="753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Working prototype, two cities, seven scenarios, 31 automated interface checks, replay-validated end to end. Not connected to live telemetry.</w:t>
            </w:r>
          </w:p>
        </w:tc>
      </w:tr>
    </w:tbl>
    <w:p>
      <w:pPr>
        <w:spacing w:after="110" w:before="0"/>
      </w:pPr>
      <w:r>
        <w:rPr>
          <w:sz w:val="2"/>
          <w:szCs w:val="2"/>
        </w:rPr>
        <w:t xml:space="preserve"/>
      </w:r>
    </w:p>
    <w:p>
      <w:pPr>
        <w:spacing w:after="55" w:before="0"/>
      </w:pPr>
      <w:r>
        <w:rPr>
          <w:rFonts w:ascii="Calibri" w:cs="Calibri" w:eastAsia="Calibri" w:hAnsi="Calibri"/>
          <w:b/>
          <w:bCs/>
          <w:color w:val="55616F"/>
          <w:spacing w:val="24"/>
          <w:sz w:val="15"/>
          <w:szCs w:val="15"/>
        </w:rPr>
        <w:t xml:space="preserve">THE PROTOTYPE, IN ONE VIEW</w:t>
      </w:r>
    </w:p>
    <w:p>
      <w:pPr>
        <w:spacing w:after="25" w:before="50"/>
        <w:jc w:val="center"/>
      </w:pPr>
      <w:r>
        <w:drawing>
          <wp:inline distT="0" distB="0" distL="0" distR="0">
            <wp:extent cx="595312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53125" cy="335280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The operations room at #/twin: Nagpur at T+37 h of the 23 September 2023 cloudburst reconstruction. Left: the feature sidebar and 57 monitored assets. Centre: the 3D city with facility markers, learned cascade flows and crisis footprints. Below: the 72-hour timeline, scrubbable.</w:t>
      </w:r>
    </w:p>
    <w:p>
      <w:pPr>
        <w:pStyle w:val="Heading1"/>
        <w:pBdr>
          <w:bottom w:val="single" w:color="1F4E79" w:sz="10" w:space="3"/>
        </w:pBdr>
        <w:spacing w:after="110" w:before="170"/>
      </w:pPr>
      <w:r>
        <w:rPr>
          <w:rFonts w:ascii="Calibri" w:cs="Calibri" w:eastAsia="Calibri" w:hAnsi="Calibri"/>
          <w:b/>
          <w:bCs/>
          <w:color w:val="C9D2DC"/>
          <w:sz w:val="26"/>
          <w:szCs w:val="26"/>
        </w:rPr>
        <w:t xml:space="preserve">01  </w:t>
      </w:r>
      <w:r>
        <w:rPr>
          <w:rFonts w:ascii="Calibri" w:cs="Calibri" w:eastAsia="Calibri" w:hAnsi="Calibri"/>
          <w:b/>
          <w:bCs/>
          <w:color w:val="1F4E79"/>
          <w:sz w:val="26"/>
          <w:szCs w:val="26"/>
        </w:rPr>
        <w:t xml:space="preserve">The problem</w:t>
      </w:r>
    </w:p>
    <w:p>
      <w:pPr>
        <w:spacing w:after="90" w:before="0" w:line="250"/>
      </w:pPr>
      <w:r>
        <w:rPr>
          <w:rFonts w:ascii="Calibri" w:cs="Calibri" w:eastAsia="Calibri" w:hAnsi="Calibri"/>
          <w:color w:val="14181D"/>
          <w:sz w:val="19"/>
          <w:szCs w:val="19"/>
        </w:rPr>
        <w:t xml:space="preserve">A city does not fail all at once. It fails in sequence, and the sequence is the part nobody owns.</w:t>
      </w:r>
    </w:p>
    <w:p>
      <w:pPr>
        <w:spacing w:after="25" w:before="50"/>
        <w:jc w:val="center"/>
      </w:pPr>
      <w:r>
        <w:drawing>
          <wp:inline distT="0" distB="0" distL="0" distR="0">
            <wp:extent cx="5953125"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53125" cy="66675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Figure 1 — The chain the system forecasts. Each arrow is a dependency learned from the sensor streams, not supplied by an engineer.</w:t>
      </w:r>
    </w:p>
    <w:p>
      <w:pPr>
        <w:pStyle w:val="Heading2"/>
        <w:spacing w:after="65" w:before="130"/>
      </w:pPr>
      <w:r>
        <w:rPr>
          <w:rFonts w:ascii="Calibri" w:cs="Calibri" w:eastAsia="Calibri" w:hAnsi="Calibri"/>
          <w:b/>
          <w:bCs/>
          <w:color w:val="14181D"/>
          <w:sz w:val="21"/>
          <w:szCs w:val="21"/>
        </w:rPr>
        <w:t xml:space="preserve">What actually happens</w:t>
      </w:r>
    </w:p>
    <w:p>
      <w:pPr>
        <w:spacing w:after="90" w:before="0" w:line="250"/>
      </w:pPr>
      <w:r>
        <w:rPr>
          <w:rFonts w:ascii="Calibri" w:cs="Calibri" w:eastAsia="Calibri" w:hAnsi="Calibri"/>
          <w:color w:val="14181D"/>
          <w:sz w:val="19"/>
          <w:szCs w:val="19"/>
        </w:rPr>
        <w:t xml:space="preserve">On the night of </w:t>
      </w:r>
      <w:r>
        <w:rPr>
          <w:rFonts w:ascii="Calibri" w:cs="Calibri" w:eastAsia="Calibri" w:hAnsi="Calibri"/>
          <w:b/>
          <w:bCs/>
          <w:color w:val="14181D"/>
          <w:sz w:val="19"/>
          <w:szCs w:val="19"/>
        </w:rPr>
        <w:t xml:space="preserve">23 September 2023</w:t>
      </w:r>
      <w:r>
        <w:rPr>
          <w:rFonts w:ascii="Calibri" w:cs="Calibri" w:eastAsia="Calibri" w:hAnsi="Calibri"/>
          <w:color w:val="14181D"/>
          <w:sz w:val="19"/>
          <w:szCs w:val="19"/>
        </w:rPr>
        <w:t xml:space="preserve">, roughly </w:t>
      </w:r>
      <w:r>
        <w:rPr>
          <w:rFonts w:ascii="Calibri" w:cs="Calibri" w:eastAsia="Calibri" w:hAnsi="Calibri"/>
          <w:b/>
          <w:bCs/>
          <w:color w:val="14181D"/>
          <w:sz w:val="19"/>
          <w:szCs w:val="19"/>
        </w:rPr>
        <w:t xml:space="preserve">106 mm of rain fell on Nagpur in four hours</w:t>
      </w:r>
      <w:r>
        <w:rPr>
          <w:rFonts w:ascii="Calibri" w:cs="Calibri" w:eastAsia="Calibri" w:hAnsi="Calibri"/>
          <w:color w:val="14181D"/>
          <w:sz w:val="19"/>
          <w:szCs w:val="19"/>
        </w:rPr>
        <w:t xml:space="preserve">. Ambazari Lake overtopped into the Nag river. What followed was not one emergency but a chain of them, and each link was handled by a different department:</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The drainage department</w:t>
      </w:r>
      <w:r>
        <w:rPr>
          <w:rFonts w:ascii="Calibri" w:cs="Calibri" w:eastAsia="Calibri" w:hAnsi="Calibri"/>
          <w:color w:val="14181D"/>
          <w:sz w:val="19"/>
          <w:szCs w:val="19"/>
        </w:rPr>
        <w:t xml:space="preserve"> saw a lake spillway and a rising river. It did not see that two of the junctions about to flood were on the only fast route from the northern suburbs to the trauma centre.</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The traffic police</w:t>
      </w:r>
      <w:r>
        <w:rPr>
          <w:rFonts w:ascii="Calibri" w:cs="Calibri" w:eastAsia="Calibri" w:hAnsi="Calibri"/>
          <w:color w:val="14181D"/>
          <w:sz w:val="19"/>
          <w:szCs w:val="19"/>
        </w:rPr>
        <w:t xml:space="preserve"> closed flooded roads. They did not know that one of those closures put an ambulance corridor behind the flood, or that a substation yard on the diverted route was itself about to go under.</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The distribution utility</w:t>
      </w:r>
      <w:r>
        <w:rPr>
          <w:rFonts w:ascii="Calibri" w:cs="Calibri" w:eastAsia="Calibri" w:hAnsi="Calibri"/>
          <w:color w:val="14181D"/>
          <w:sz w:val="19"/>
          <w:szCs w:val="19"/>
        </w:rPr>
        <w:t xml:space="preserve"> watched feeder load. It did not know that losing one substation would take four mobile sites off air within ninety minutes, because their battery hold-up is shorter than the repair time.</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The hospital</w:t>
      </w:r>
      <w:r>
        <w:rPr>
          <w:rFonts w:ascii="Calibri" w:cs="Calibri" w:eastAsia="Calibri" w:hAnsi="Calibri"/>
          <w:color w:val="14181D"/>
          <w:sz w:val="19"/>
          <w:szCs w:val="19"/>
        </w:rPr>
        <w:t xml:space="preserve"> saw its census rising. It learned that ambulances were slowing when they stopped arriving, not before.</w:t>
      </w:r>
    </w:p>
    <w:p>
      <w:pPr>
        <w:spacing w:after="90" w:before="0" w:line="250"/>
      </w:pPr>
      <w:r>
        <w:rPr>
          <w:rFonts w:ascii="Calibri" w:cs="Calibri" w:eastAsia="Calibri" w:hAnsi="Calibri"/>
          <w:color w:val="14181D"/>
          <w:sz w:val="19"/>
          <w:szCs w:val="19"/>
        </w:rPr>
        <w:t xml:space="preserve">Every one of those teams did its job. The failure was in the </w:t>
      </w:r>
      <w:r>
        <w:rPr>
          <w:rFonts w:ascii="Calibri" w:cs="Calibri" w:eastAsia="Calibri" w:hAnsi="Calibri"/>
          <w:b/>
          <w:bCs/>
          <w:color w:val="14181D"/>
          <w:sz w:val="19"/>
          <w:szCs w:val="19"/>
        </w:rPr>
        <w:t xml:space="preserve">handoffs</w:t>
      </w:r>
      <w:r>
        <w:rPr>
          <w:rFonts w:ascii="Calibri" w:cs="Calibri" w:eastAsia="Calibri" w:hAnsi="Calibri"/>
          <w:color w:val="14181D"/>
          <w:sz w:val="19"/>
          <w:szCs w:val="19"/>
        </w:rPr>
        <w:t xml:space="preserve"> — and no system in the city is responsible for those.</w:t>
      </w:r>
    </w:p>
    <w:p>
      <w:pPr>
        <w:pStyle w:val="Heading2"/>
        <w:spacing w:after="65" w:before="130"/>
      </w:pPr>
      <w:r>
        <w:rPr>
          <w:rFonts w:ascii="Calibri" w:cs="Calibri" w:eastAsia="Calibri" w:hAnsi="Calibri"/>
          <w:b/>
          <w:bCs/>
          <w:color w:val="14181D"/>
          <w:sz w:val="21"/>
          <w:szCs w:val="21"/>
        </w:rPr>
        <w:t xml:space="preserve">Who carries the cost</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036"/>
        <w:gridCol w:w="4479"/>
        <w:gridCol w:w="3665"/>
      </w:tblGrid>
      <w:tr>
        <w:trPr>
          <w:cantSplit/>
          <w:tblHeader/>
        </w:trPr>
        <w:tc>
          <w:tcPr>
            <w:tcW w:type="dxa" w:w="2036"/>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7"/>
                <w:szCs w:val="17"/>
              </w:rPr>
              <w:t xml:space="preserve">Who</w:t>
            </w:r>
          </w:p>
        </w:tc>
        <w:tc>
          <w:tcPr>
            <w:tcW w:type="dxa" w:w="4479"/>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7"/>
                <w:szCs w:val="17"/>
              </w:rPr>
              <w:t xml:space="preserve">What they face today</w:t>
            </w:r>
          </w:p>
        </w:tc>
        <w:tc>
          <w:tcPr>
            <w:tcW w:type="dxa" w:w="3665"/>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7"/>
                <w:szCs w:val="17"/>
              </w:rPr>
              <w:t xml:space="preserve">What it costs</w:t>
            </w:r>
          </w:p>
        </w:tc>
      </w:tr>
      <w:tr>
        <w:trPr>
          <w:cantSplit/>
        </w:trPr>
        <w:tc>
          <w:tcPr>
            <w:tcW w:type="dxa" w:w="203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City EOC duty officer</w:t>
            </w:r>
          </w:p>
        </w:tc>
        <w:tc>
          <w:tcPr>
            <w:tcW w:type="dxa" w:w="447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Six dashboards, one per department, each showing its own system as green or red. No view of how one feeds another.</w:t>
            </w:r>
          </w:p>
        </w:tc>
        <w:tc>
          <w:tcPr>
            <w:tcW w:type="dxa" w:w="366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Decisions taken late, or taken on the wrong system entirely.</w:t>
            </w:r>
          </w:p>
        </w:tc>
      </w:tr>
      <w:tr>
        <w:trPr>
          <w:cantSplit/>
        </w:trPr>
        <w:tc>
          <w:tcPr>
            <w:tcW w:type="dxa" w:w="203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Municipal utility control</w:t>
            </w:r>
          </w:p>
        </w:tc>
        <w:tc>
          <w:tcPr>
            <w:tcW w:type="dxa" w:w="447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SCADA tells them a feeder is loaded. Nothing tells them which hospital is downstream of that feeder.</w:t>
            </w:r>
          </w:p>
        </w:tc>
        <w:tc>
          <w:tcPr>
            <w:tcW w:type="dxa" w:w="366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Load shed in the wrong order; diesel delivered after the batteries die.</w:t>
            </w:r>
          </w:p>
        </w:tc>
      </w:tr>
      <w:tr>
        <w:trPr>
          <w:cantSplit/>
        </w:trPr>
        <w:tc>
          <w:tcPr>
            <w:tcW w:type="dxa" w:w="203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Hospital / EMS controller</w:t>
            </w:r>
          </w:p>
        </w:tc>
        <w:tc>
          <w:tcPr>
            <w:tcW w:type="dxa" w:w="447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Bed board and unit board. No forecast of inbound demand, no warning that the approach roads are closing.</w:t>
            </w:r>
          </w:p>
        </w:tc>
        <w:tc>
          <w:tcPr>
            <w:tcW w:type="dxa" w:w="366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Diversion decided under pressure, with no time to pre-stage.</w:t>
            </w:r>
          </w:p>
        </w:tc>
      </w:tr>
      <w:tr>
        <w:trPr>
          <w:cantSplit/>
        </w:trPr>
        <w:tc>
          <w:tcPr>
            <w:tcW w:type="dxa" w:w="203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Traffic police</w:t>
            </w:r>
          </w:p>
        </w:tc>
        <w:tc>
          <w:tcPr>
            <w:tcW w:type="dxa" w:w="447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Camera feeds and incident calls. No way to see which closure cuts an emergency corridor.</w:t>
            </w:r>
          </w:p>
        </w:tc>
        <w:tc>
          <w:tcPr>
            <w:tcW w:type="dxa" w:w="366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Closures that solve one problem and create another.</w:t>
            </w:r>
          </w:p>
        </w:tc>
      </w:tr>
      <w:tr>
        <w:trPr>
          <w:cantSplit/>
        </w:trPr>
        <w:tc>
          <w:tcPr>
            <w:tcW w:type="dxa" w:w="203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Residents</w:t>
            </w:r>
          </w:p>
        </w:tc>
        <w:tc>
          <w:tcPr>
            <w:tcW w:type="dxa" w:w="447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A district-level rainfall warning that names no street and recommends no action.</w:t>
            </w:r>
          </w:p>
        </w:tc>
        <w:tc>
          <w:tcPr>
            <w:tcW w:type="dxa" w:w="366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People drive into flooded underpasses because nothing told them not to.</w:t>
            </w:r>
          </w:p>
        </w:tc>
      </w:tr>
    </w:tbl>
    <w:p>
      <w:pPr>
        <w:spacing w:after="10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Why a risk number is not enough</w:t>
      </w:r>
    </w:p>
    <w:p>
      <w:pPr>
        <w:spacing w:after="90" w:before="0" w:line="250"/>
      </w:pPr>
      <w:r>
        <w:rPr>
          <w:rFonts w:ascii="Calibri" w:cs="Calibri" w:eastAsia="Calibri" w:hAnsi="Calibri"/>
          <w:color w:val="14181D"/>
          <w:sz w:val="19"/>
          <w:szCs w:val="19"/>
        </w:rPr>
        <w:t xml:space="preserve">Most civic dashboards answer </w:t>
      </w:r>
      <w:r>
        <w:rPr>
          <w:rFonts w:ascii="Calibri" w:cs="Calibri" w:eastAsia="Calibri" w:hAnsi="Calibri"/>
          <w:i/>
          <w:iCs/>
          <w:color w:val="14181D"/>
          <w:sz w:val="19"/>
          <w:szCs w:val="19"/>
        </w:rPr>
        <w:t xml:space="preserve">how bad is it?</w:t>
      </w:r>
      <w:r>
        <w:rPr>
          <w:rFonts w:ascii="Calibri" w:cs="Calibri" w:eastAsia="Calibri" w:hAnsi="Calibri"/>
          <w:color w:val="14181D"/>
          <w:sz w:val="19"/>
          <w:szCs w:val="19"/>
        </w:rPr>
        <w:t xml:space="preserve"> The operator's real questions are different, and harder:</w:t>
      </w:r>
    </w:p>
    <w:tbl>
      <w:tblPr>
        <w:tblW w:type="dxa" w:w="10180"/>
        <w:tblBorders>
          <w:top w:val="none"/>
          <w:left w:val="none"/>
          <w:bottom w:val="none"/>
          <w:right w:val="none"/>
          <w:insideH w:val="single" w:color="auto" w:sz="4"/>
          <w:insideV w:val="single" w:color="auto" w:sz="4"/>
        </w:tblBorders>
      </w:tblPr>
      <w:tblGrid>
        <w:gridCol w:w="5090"/>
        <w:gridCol w:w="5090"/>
      </w:tblGrid>
      <w:tr>
        <w:tc>
          <w:tcPr>
            <w:tcW w:type="dxa" w:w="5090"/>
            <w:tcBorders>
              <w:top w:val="none"/>
              <w:left w:val="none"/>
              <w:bottom w:val="none"/>
              <w:right w:val="none"/>
            </w:tcBorders>
            <w:tcMar>
              <w:top w:type="dxa" w:w="0"/>
              <w:left w:type="dxa" w:w="0"/>
              <w:bottom w:type="dxa" w:w="0"/>
              <w:right w:type="dxa" w:w="150"/>
            </w:tcMar>
          </w:tcPr>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Is this one emergency or four?</w:t>
            </w:r>
            <w:r>
              <w:rPr>
                <w:rFonts w:ascii="Calibri" w:cs="Calibri" w:eastAsia="Calibri" w:hAnsi="Calibri"/>
                <w:color w:val="14181D"/>
                <w:sz w:val="19"/>
                <w:szCs w:val="19"/>
              </w:rPr>
              <w:t xml:space="preserve"> Connected stressed facilities form distinct crises with distinct owners.</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Is it still the weather, or is it now the network?</w:t>
            </w:r>
            <w:r>
              <w:rPr>
                <w:rFonts w:ascii="Calibri" w:cs="Calibri" w:eastAsia="Calibri" w:hAnsi="Calibri"/>
                <w:color w:val="14181D"/>
                <w:sz w:val="19"/>
                <w:szCs w:val="19"/>
              </w:rPr>
              <w:t xml:space="preserve"> Once stress circulates through dependencies, stopping the rain stops nothing.</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What breaks next, and when?</w:t>
            </w:r>
            <w:r>
              <w:rPr>
                <w:rFonts w:ascii="Calibri" w:cs="Calibri" w:eastAsia="Calibri" w:hAnsi="Calibri"/>
                <w:color w:val="14181D"/>
                <w:sz w:val="19"/>
                <w:szCs w:val="19"/>
              </w:rPr>
              <w:t xml:space="preserve"> Not a probability on a facility — an ordered sequence with times.</w:t>
            </w:r>
          </w:p>
        </w:tc>
        <w:tc>
          <w:tcPr>
            <w:tcW w:type="dxa" w:w="5090"/>
            <w:tcBorders>
              <w:top w:val="none"/>
              <w:left w:val="none"/>
              <w:bottom w:val="none"/>
              <w:right w:val="none"/>
            </w:tcBorders>
            <w:tcMar>
              <w:top w:type="dxa" w:w="0"/>
              <w:left w:type="dxa" w:w="0"/>
              <w:bottom w:type="dxa" w:w="0"/>
              <w:right w:type="dxa" w:w="150"/>
            </w:tcMar>
          </w:tcPr>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With the crews I have, what do I do?</w:t>
            </w:r>
            <w:r>
              <w:rPr>
                <w:rFonts w:ascii="Calibri" w:cs="Calibri" w:eastAsia="Calibri" w:hAnsi="Calibri"/>
                <w:color w:val="14181D"/>
                <w:sz w:val="19"/>
                <w:szCs w:val="19"/>
              </w:rPr>
              <w:t xml:space="preserve"> Options have crew costs and side effects elsewhere.</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By when must I start?</w:t>
            </w:r>
            <w:r>
              <w:rPr>
                <w:rFonts w:ascii="Calibri" w:cs="Calibri" w:eastAsia="Calibri" w:hAnsi="Calibri"/>
                <w:color w:val="14181D"/>
                <w:sz w:val="19"/>
                <w:szCs w:val="19"/>
              </w:rPr>
              <w:t xml:space="preserve"> Some plans survive a ten-hour delay. Some are worthless in six.</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Who do I warn, in what language, and will the message fit?</w:t>
            </w:r>
            <w:r>
              <w:rPr>
                <w:rFonts w:ascii="Calibri" w:cs="Calibri" w:eastAsia="Calibri" w:hAnsi="Calibri"/>
                <w:color w:val="14181D"/>
                <w:sz w:val="19"/>
                <w:szCs w:val="19"/>
              </w:rPr>
              <w:t xml:space="preserve"> A warning that does not arrive is not a warning.</w:t>
            </w:r>
          </w:p>
        </w:tc>
      </w:tr>
    </w:tbl>
    <w:p>
      <w:pPr>
        <w:spacing w:after="80" w:before="0"/>
      </w:pPr>
      <w:r>
        <w:rPr>
          <w:sz w:val="2"/>
          <w:szCs w:val="2"/>
        </w:rPr>
        <w:t xml:space="preserve"/>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0180"/>
      </w:tblGrid>
      <w:tr>
        <w:tc>
          <w:tcPr>
            <w:tcW w:type="dxa" w:w="10180"/>
            <w:tcBorders>
              <w:top w:val="single" w:color="1F4E79" w:sz="4"/>
              <w:left w:val="single" w:color="1F4E79" w:sz="18"/>
              <w:bottom w:val="single" w:color="1F4E79" w:sz="4"/>
              <w:right w:val="single" w:color="1F4E79" w:sz="4"/>
            </w:tcBorders>
            <w:shd w:fill="EEF3F8" w:color="auto" w:val="clear"/>
            <w:tcMar>
              <w:top w:type="dxa" w:w="90"/>
              <w:left w:type="dxa" w:w="130"/>
              <w:bottom w:type="dxa" w:w="90"/>
              <w:right w:type="dxa" w:w="130"/>
            </w:tcMar>
          </w:tcPr>
          <w:p>
            <w:pPr>
              <w:spacing w:after="45"/>
            </w:pPr>
            <w:r>
              <w:rPr>
                <w:rFonts w:ascii="Calibri" w:cs="Calibri" w:eastAsia="Calibri" w:hAnsi="Calibri"/>
                <w:b/>
                <w:bCs/>
                <w:color w:val="1F4E79"/>
                <w:sz w:val="19"/>
                <w:szCs w:val="19"/>
              </w:rPr>
              <w:t xml:space="preserve">The gap in one sentence</w:t>
            </w:r>
          </w:p>
          <w:p>
            <w:pPr>
              <w:spacing w:after="0" w:line="245"/>
            </w:pPr>
            <w:r>
              <w:rPr>
                <w:rFonts w:ascii="Calibri" w:cs="Calibri" w:eastAsia="Calibri" w:hAnsi="Calibri"/>
                <w:color w:val="14181D"/>
                <w:sz w:val="18"/>
                <w:szCs w:val="18"/>
              </w:rPr>
              <w:t xml:space="preserve">Cities have good single-system monitoring and almost no cross-system forecasting — so the compounding, which is where the harm is, is exactly the part that is invisible.</w:t>
            </w:r>
          </w:p>
        </w:tc>
      </w:tr>
    </w:tbl>
    <w:p>
      <w:pPr>
        <w:pStyle w:val="Heading1"/>
        <w:pBdr>
          <w:bottom w:val="single" w:color="1F4E79" w:sz="10" w:space="3"/>
        </w:pBdr>
        <w:spacing w:after="110" w:before="170"/>
      </w:pPr>
      <w:r>
        <w:rPr>
          <w:rFonts w:ascii="Calibri" w:cs="Calibri" w:eastAsia="Calibri" w:hAnsi="Calibri"/>
          <w:b/>
          <w:bCs/>
          <w:color w:val="C9D2DC"/>
          <w:sz w:val="26"/>
          <w:szCs w:val="26"/>
        </w:rPr>
        <w:t xml:space="preserve">02  </w:t>
      </w:r>
      <w:r>
        <w:rPr>
          <w:rFonts w:ascii="Calibri" w:cs="Calibri" w:eastAsia="Calibri" w:hAnsi="Calibri"/>
          <w:b/>
          <w:bCs/>
          <w:color w:val="1F4E79"/>
          <w:sz w:val="26"/>
          <w:szCs w:val="26"/>
        </w:rPr>
        <w:t xml:space="preserve">What exists today, and what it lacks</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934"/>
        <w:gridCol w:w="3054"/>
        <w:gridCol w:w="2647"/>
        <w:gridCol w:w="2545"/>
      </w:tblGrid>
      <w:tr>
        <w:trPr>
          <w:cantSplit/>
          <w:tblHeader/>
        </w:trPr>
        <w:tc>
          <w:tcPr>
            <w:tcW w:type="dxa" w:w="1934"/>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Category</w:t>
            </w:r>
          </w:p>
        </w:tc>
        <w:tc>
          <w:tcPr>
            <w:tcW w:type="dxa" w:w="3054"/>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Examples of the approach</w:t>
            </w:r>
          </w:p>
        </w:tc>
        <w:tc>
          <w:tcPr>
            <w:tcW w:type="dxa" w:w="2647"/>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What it does well</w:t>
            </w:r>
          </w:p>
        </w:tc>
        <w:tc>
          <w:tcPr>
            <w:tcW w:type="dxa" w:w="2545"/>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What it lacks</w:t>
            </w:r>
          </w:p>
        </w:tc>
      </w:tr>
      <w:tr>
        <w:trPr>
          <w:cantSplit/>
        </w:trPr>
        <w:tc>
          <w:tcPr>
            <w:tcW w:type="dxa" w:w="193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City digital twins / CIM platforms</w:t>
            </w:r>
          </w:p>
        </w:tc>
        <w:tc>
          <w:tcPr>
            <w:tcW w:type="dxa" w:w="305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Virtual Singapore; municipal twins in Helsinki, Zurich and Rotterdam; vendor CIM stacks</w:t>
            </w:r>
          </w:p>
        </w:tc>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Accurate 3D city models, asset registries, planning and what-if for construction</w:t>
            </w:r>
          </w:p>
        </w:tc>
        <w:tc>
          <w:tcPr>
            <w:tcW w:type="dxa" w:w="254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Built for planning horizons, not 72-hour operations. No live cascade forecasting across utilities.</w:t>
            </w:r>
          </w:p>
        </w:tc>
      </w:tr>
      <w:tr>
        <w:trPr>
          <w:cantSplit/>
        </w:trPr>
        <w:tc>
          <w:tcPr>
            <w:tcW w:type="dxa" w:w="193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Flood forecasting services</w:t>
            </w:r>
          </w:p>
        </w:tc>
        <w:tc>
          <w:tcPr>
            <w:tcW w:type="dxa" w:w="305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National hydromet agencies; IMD and CWC bulletins; catchment hydraulic models</w:t>
            </w:r>
          </w:p>
        </w:tc>
        <w:tc>
          <w:tcPr>
            <w:tcW w:type="dxa" w:w="264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Genuine physical skill on rainfall and river stage; long operational track record</w:t>
            </w:r>
          </w:p>
        </w:tc>
        <w:tc>
          <w:tcPr>
            <w:tcW w:type="dxa" w:w="254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Forecasts water, not consequences. Stops at the river bank — nothing about hospitals or power.</w:t>
            </w:r>
          </w:p>
        </w:tc>
      </w:tr>
      <w:tr>
        <w:trPr>
          <w:cantSplit/>
        </w:trPr>
        <w:tc>
          <w:tcPr>
            <w:tcW w:type="dxa" w:w="193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Utility SCADA and outage management</w:t>
            </w:r>
          </w:p>
        </w:tc>
        <w:tc>
          <w:tcPr>
            <w:tcW w:type="dxa" w:w="305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Distribution SCADA, OMS, ADMS</w:t>
            </w:r>
          </w:p>
        </w:tc>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Second-by-second truth about the grid; proven dispatch workflows</w:t>
            </w:r>
          </w:p>
        </w:tc>
        <w:tc>
          <w:tcPr>
            <w:tcW w:type="dxa" w:w="254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One utility, one system. No model of what the outage does to EMS or telecom.</w:t>
            </w:r>
          </w:p>
        </w:tc>
      </w:tr>
      <w:tr>
        <w:trPr>
          <w:cantSplit/>
        </w:trPr>
        <w:tc>
          <w:tcPr>
            <w:tcW w:type="dxa" w:w="193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Emergency management software</w:t>
            </w:r>
          </w:p>
        </w:tc>
        <w:tc>
          <w:tcPr>
            <w:tcW w:type="dxa" w:w="305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Incident command and resource-tracking suites</w:t>
            </w:r>
          </w:p>
        </w:tc>
        <w:tc>
          <w:tcPr>
            <w:tcW w:type="dxa" w:w="264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Excellent at logging what happened and who was assigned</w:t>
            </w:r>
          </w:p>
        </w:tc>
        <w:tc>
          <w:tcPr>
            <w:tcW w:type="dxa" w:w="254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Records the present; does not forecast the next six hours or evaluate counterfactuals.</w:t>
            </w:r>
          </w:p>
        </w:tc>
      </w:tr>
      <w:tr>
        <w:trPr>
          <w:cantSplit/>
        </w:trPr>
        <w:tc>
          <w:tcPr>
            <w:tcW w:type="dxa" w:w="193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Smart-city command centres</w:t>
            </w:r>
          </w:p>
        </w:tc>
        <w:tc>
          <w:tcPr>
            <w:tcW w:type="dxa" w:w="305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Integrated command and control centres across Indian cities</w:t>
            </w:r>
          </w:p>
        </w:tc>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Genuine data integration; many feeds on one wall</w:t>
            </w:r>
          </w:p>
        </w:tc>
        <w:tc>
          <w:tcPr>
            <w:tcW w:type="dxa" w:w="254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Integration is visual, not analytical. Screens sit side by side; the model does not join them.</w:t>
            </w:r>
          </w:p>
        </w:tc>
      </w:tr>
      <w:tr>
        <w:trPr>
          <w:cantSplit/>
        </w:trPr>
        <w:tc>
          <w:tcPr>
            <w:tcW w:type="dxa" w:w="193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Public alerting</w:t>
            </w:r>
          </w:p>
        </w:tc>
        <w:tc>
          <w:tcPr>
            <w:tcW w:type="dxa" w:w="305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Cell broadcast, CAP gateways, SMS blasts</w:t>
            </w:r>
          </w:p>
        </w:tc>
        <w:tc>
          <w:tcPr>
            <w:tcW w:type="dxa" w:w="264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Reach, and established standards</w:t>
            </w:r>
          </w:p>
        </w:tc>
        <w:tc>
          <w:tcPr>
            <w:tcW w:type="dxa" w:w="254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Generic district-level text. No link to which street, which hour, or which action.</w:t>
            </w:r>
          </w:p>
        </w:tc>
      </w:tr>
    </w:tbl>
    <w:p>
      <w:pPr>
        <w:spacing w:after="10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The common gap</w:t>
      </w:r>
    </w:p>
    <w:p>
      <w:pPr>
        <w:spacing w:after="90" w:before="0" w:line="250"/>
      </w:pPr>
      <w:r>
        <w:rPr>
          <w:rFonts w:ascii="Calibri" w:cs="Calibri" w:eastAsia="Calibri" w:hAnsi="Calibri"/>
          <w:color w:val="14181D"/>
          <w:sz w:val="19"/>
          <w:szCs w:val="19"/>
        </w:rPr>
        <w:t xml:space="preserve">Every category above is </w:t>
      </w:r>
      <w:r>
        <w:rPr>
          <w:rFonts w:ascii="Calibri" w:cs="Calibri" w:eastAsia="Calibri" w:hAnsi="Calibri"/>
          <w:b/>
          <w:bCs/>
          <w:color w:val="14181D"/>
          <w:sz w:val="19"/>
          <w:szCs w:val="19"/>
        </w:rPr>
        <w:t xml:space="preserve">strong within one system and silent between systems</w:t>
      </w:r>
      <w:r>
        <w:rPr>
          <w:rFonts w:ascii="Calibri" w:cs="Calibri" w:eastAsia="Calibri" w:hAnsi="Calibri"/>
          <w:color w:val="14181D"/>
          <w:sz w:val="19"/>
          <w:szCs w:val="19"/>
        </w:rPr>
        <w:t xml:space="preserve">. Flood models stop at the water. SCADA stops at the meter. Command centres put the feeds on one wall but leave the joining to a human under time pressure at three in the morning. Nothing in the standard stack answers </w:t>
      </w:r>
      <w:r>
        <w:rPr>
          <w:rFonts w:ascii="Calibri" w:cs="Calibri" w:eastAsia="Calibri" w:hAnsi="Calibri"/>
          <w:i/>
          <w:iCs/>
          <w:color w:val="14181D"/>
          <w:sz w:val="19"/>
          <w:szCs w:val="19"/>
        </w:rPr>
        <w:t xml:space="preserve">"if this substation goes, when does the trauma centre start diverting?"</w:t>
      </w:r>
      <w:r>
        <w:rPr>
          <w:rFonts w:ascii="Calibri" w:cs="Calibri" w:eastAsia="Calibri" w:hAnsi="Calibri"/>
          <w:color w:val="14181D"/>
          <w:sz w:val="19"/>
          <w:szCs w:val="19"/>
        </w:rPr>
        <w:t xml:space="preserve"> — and that is the question the next six hours turn on.</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0180"/>
      </w:tblGrid>
      <w:tr>
        <w:tc>
          <w:tcPr>
            <w:tcW w:type="dxa" w:w="10180"/>
            <w:tcBorders>
              <w:top w:val="single" w:color="246B4C" w:sz="4"/>
              <w:left w:val="single" w:color="246B4C" w:sz="18"/>
              <w:bottom w:val="single" w:color="246B4C" w:sz="4"/>
              <w:right w:val="single" w:color="246B4C" w:sz="4"/>
            </w:tcBorders>
            <w:shd w:fill="EEF3F8" w:color="auto" w:val="clear"/>
            <w:tcMar>
              <w:top w:type="dxa" w:w="90"/>
              <w:left w:type="dxa" w:w="130"/>
              <w:bottom w:type="dxa" w:w="90"/>
              <w:right w:type="dxa" w:w="130"/>
            </w:tcMar>
          </w:tcPr>
          <w:p>
            <w:pPr>
              <w:spacing w:after="45"/>
            </w:pPr>
            <w:r>
              <w:rPr>
                <w:rFonts w:ascii="Calibri" w:cs="Calibri" w:eastAsia="Calibri" w:hAnsi="Calibri"/>
                <w:b/>
                <w:bCs/>
                <w:color w:val="246B4C"/>
                <w:sz w:val="19"/>
                <w:szCs w:val="19"/>
              </w:rPr>
              <w:t xml:space="preserve">Our position</w:t>
            </w:r>
          </w:p>
          <w:p>
            <w:pPr>
              <w:spacing w:after="0" w:line="245"/>
            </w:pPr>
            <w:r>
              <w:rPr>
                <w:rFonts w:ascii="Calibri" w:cs="Calibri" w:eastAsia="Calibri" w:hAnsi="Calibri"/>
                <w:color w:val="14181D"/>
                <w:sz w:val="18"/>
                <w:szCs w:val="18"/>
              </w:rPr>
              <w:t xml:space="preserve">We are not replacing the flood model, the SCADA or the command centre. We consume what they produce and add the one layer none of them has: </w:t>
            </w:r>
            <w:r>
              <w:rPr>
                <w:rFonts w:ascii="Calibri" w:cs="Calibri" w:eastAsia="Calibri" w:hAnsi="Calibri"/>
                <w:b/>
                <w:bCs/>
                <w:color w:val="14181D"/>
                <w:sz w:val="18"/>
                <w:szCs w:val="18"/>
              </w:rPr>
              <w:t xml:space="preserve">the learned graph of how they affect each other, and the decision it implies.</w:t>
            </w:r>
          </w:p>
        </w:tc>
      </w:tr>
    </w:tbl>
    <w:p>
      <w:pPr>
        <w:spacing w:after="10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Where we sit against each category</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3052"/>
        <w:gridCol w:w="1222"/>
        <w:gridCol w:w="1222"/>
        <w:gridCol w:w="1222"/>
        <w:gridCol w:w="1222"/>
        <w:gridCol w:w="2240"/>
      </w:tblGrid>
      <w:tr>
        <w:trPr>
          <w:cantSplit/>
          <w:tblHeader/>
        </w:trPr>
        <w:tc>
          <w:tcPr>
            <w:tcW w:type="dxa" w:w="3052"/>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Capability</w:t>
            </w:r>
          </w:p>
        </w:tc>
        <w:tc>
          <w:tcPr>
            <w:tcW w:type="dxa" w:w="1222"/>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Flood model</w:t>
            </w:r>
          </w:p>
        </w:tc>
        <w:tc>
          <w:tcPr>
            <w:tcW w:type="dxa" w:w="1222"/>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SCADA / OMS</w:t>
            </w:r>
          </w:p>
        </w:tc>
        <w:tc>
          <w:tcPr>
            <w:tcW w:type="dxa" w:w="1222"/>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ICCC</w:t>
            </w:r>
          </w:p>
        </w:tc>
        <w:tc>
          <w:tcPr>
            <w:tcW w:type="dxa" w:w="1222"/>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City twin</w:t>
            </w:r>
          </w:p>
        </w:tc>
        <w:tc>
          <w:tcPr>
            <w:tcW w:type="dxa" w:w="224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Ours</w:t>
            </w:r>
          </w:p>
        </w:tc>
      </w:tr>
      <w:tr>
        <w:trPr>
          <w:cantSplit/>
        </w:trPr>
        <w:tc>
          <w:tcPr>
            <w:tcW w:type="dxa" w:w="305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Forecasts its own system</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Yes</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Partly</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Yes</w:t>
            </w:r>
          </w:p>
        </w:tc>
      </w:tr>
      <w:tr>
        <w:trPr>
          <w:cantSplit/>
        </w:trPr>
        <w:tc>
          <w:tcPr>
            <w:tcW w:type="dxa" w:w="305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Forecasts other systems</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Yes</w:t>
            </w:r>
          </w:p>
        </w:tc>
      </w:tr>
      <w:tr>
        <w:trPr>
          <w:cantSplit/>
        </w:trPr>
        <w:tc>
          <w:tcPr>
            <w:tcW w:type="dxa" w:w="305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Learns the links from data</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Yes</w:t>
            </w:r>
          </w:p>
        </w:tc>
      </w:tr>
      <w:tr>
        <w:trPr>
          <w:cantSplit/>
        </w:trPr>
        <w:tc>
          <w:tcPr>
            <w:tcW w:type="dxa" w:w="305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Groups failures into named crises</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Partly</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Yes</w:t>
            </w:r>
          </w:p>
        </w:tc>
      </w:tr>
      <w:tr>
        <w:trPr>
          <w:cantSplit/>
        </w:trPr>
        <w:tc>
          <w:tcPr>
            <w:tcW w:type="dxa" w:w="305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Evaluates counterfactual actions</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Partly</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Partly</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Yes</w:t>
            </w:r>
          </w:p>
        </w:tc>
      </w:tr>
      <w:tr>
        <w:trPr>
          <w:cantSplit/>
        </w:trPr>
        <w:tc>
          <w:tcPr>
            <w:tcW w:type="dxa" w:w="305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States a decision deadline</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Yes</w:t>
            </w:r>
          </w:p>
        </w:tc>
      </w:tr>
      <w:tr>
        <w:trPr>
          <w:cantSplit/>
        </w:trPr>
        <w:tc>
          <w:tcPr>
            <w:tcW w:type="dxa" w:w="305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Issues public warnings</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Via agency</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Partly</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Yes — CAP + SMS, multilingual</w:t>
            </w:r>
          </w:p>
        </w:tc>
      </w:tr>
      <w:tr>
        <w:trPr>
          <w:cantSplit/>
        </w:trPr>
        <w:tc>
          <w:tcPr>
            <w:tcW w:type="dxa" w:w="305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Scores its own past forecasts</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Yes</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Yes</w:t>
            </w:r>
          </w:p>
        </w:tc>
      </w:tr>
    </w:tbl>
    <w:p>
      <w:pPr>
        <w:pStyle w:val="Heading1"/>
        <w:pBdr>
          <w:bottom w:val="single" w:color="1F4E79" w:sz="10" w:space="3"/>
        </w:pBdr>
        <w:spacing w:after="110" w:before="170"/>
      </w:pPr>
      <w:r>
        <w:rPr>
          <w:rFonts w:ascii="Calibri" w:cs="Calibri" w:eastAsia="Calibri" w:hAnsi="Calibri"/>
          <w:b/>
          <w:bCs/>
          <w:color w:val="C9D2DC"/>
          <w:sz w:val="26"/>
          <w:szCs w:val="26"/>
        </w:rPr>
        <w:t xml:space="preserve">03  </w:t>
      </w:r>
      <w:r>
        <w:rPr>
          <w:rFonts w:ascii="Calibri" w:cs="Calibri" w:eastAsia="Calibri" w:hAnsi="Calibri"/>
          <w:b/>
          <w:bCs/>
          <w:color w:val="1F4E79"/>
          <w:sz w:val="26"/>
          <w:szCs w:val="26"/>
        </w:rPr>
        <w:t xml:space="preserve">Research behind the build</w:t>
      </w:r>
    </w:p>
    <w:p>
      <w:pPr>
        <w:spacing w:after="90" w:before="0" w:line="250"/>
      </w:pPr>
      <w:r>
        <w:rPr>
          <w:rFonts w:ascii="Calibri" w:cs="Calibri" w:eastAsia="Calibri" w:hAnsi="Calibri"/>
          <w:color w:val="14181D"/>
          <w:sz w:val="19"/>
          <w:szCs w:val="19"/>
        </w:rPr>
        <w:t xml:space="preserve">The design borrows deliberately from four established fields rather than inventing method where good method exists.</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036"/>
        <w:gridCol w:w="4479"/>
        <w:gridCol w:w="3665"/>
      </w:tblGrid>
      <w:tr>
        <w:trPr>
          <w:cantSplit/>
          <w:tblHeader/>
        </w:trPr>
        <w:tc>
          <w:tcPr>
            <w:tcW w:type="dxa" w:w="2036"/>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Field</w:t>
            </w:r>
          </w:p>
        </w:tc>
        <w:tc>
          <w:tcPr>
            <w:tcW w:type="dxa" w:w="4479"/>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What we took</w:t>
            </w:r>
          </w:p>
        </w:tc>
        <w:tc>
          <w:tcPr>
            <w:tcW w:type="dxa" w:w="3665"/>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Where it is used</w:t>
            </w:r>
          </w:p>
        </w:tc>
      </w:tr>
      <w:tr>
        <w:trPr>
          <w:cantSplit/>
        </w:trPr>
        <w:tc>
          <w:tcPr>
            <w:tcW w:type="dxa" w:w="203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Numerical weather prediction</w:t>
            </w:r>
          </w:p>
        </w:tc>
        <w:tc>
          <w:tcPr>
            <w:tcW w:type="dxa" w:w="447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Ensemble forecasting: run many plausible futures, read probability from their spread rather than from a single deterministic run.</w:t>
            </w:r>
          </w:p>
        </w:tc>
        <w:tc>
          <w:tcPr>
            <w:tcW w:type="dxa" w:w="366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200-member ensemble; fan charts; P(critical) at +1/6/12/24/48 h.</w:t>
            </w:r>
          </w:p>
        </w:tc>
      </w:tr>
      <w:tr>
        <w:trPr>
          <w:cantSplit/>
        </w:trPr>
        <w:tc>
          <w:tcPr>
            <w:tcW w:type="dxa" w:w="203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Data assimilation</w:t>
            </w:r>
          </w:p>
        </w:tc>
        <w:tc>
          <w:tcPr>
            <w:tcW w:type="dxa" w:w="447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Particle filtering with localisation and forgetting — standard where the state is non-Gaussian and drifting.</w:t>
            </w:r>
          </w:p>
        </w:tc>
        <w:tc>
          <w:tcPr>
            <w:tcW w:type="dxa" w:w="366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Per-facility weights; adaptive tempering holds effective sample size above 12%.</w:t>
            </w:r>
          </w:p>
        </w:tc>
      </w:tr>
      <w:tr>
        <w:trPr>
          <w:cantSplit/>
        </w:trPr>
        <w:tc>
          <w:tcPr>
            <w:tcW w:type="dxa" w:w="203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Sparse Bayesian learning</w:t>
            </w:r>
          </w:p>
        </w:tc>
        <w:tc>
          <w:tcPr>
            <w:tcW w:type="dxa" w:w="447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Automatic Relevance Determination: zero-mean priors with per-feature precision, re-estimated by EM, so irrelevant causes are driven out.</w:t>
            </w:r>
          </w:p>
        </w:tc>
        <w:tc>
          <w:tcPr>
            <w:tcW w:type="dxa" w:w="366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Learning which dependency links are real; 7 deliberately fake links per city are the control.</w:t>
            </w:r>
          </w:p>
        </w:tc>
      </w:tr>
      <w:tr>
        <w:trPr>
          <w:cantSplit/>
        </w:trPr>
        <w:tc>
          <w:tcPr>
            <w:tcW w:type="dxa" w:w="203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Operational meteorology verification</w:t>
            </w:r>
          </w:p>
        </w:tc>
        <w:tc>
          <w:tcPr>
            <w:tcW w:type="dxa" w:w="447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Brier score, skill against climatology, reliability diagrams, probability of detection and false-alarm ratio, lead time.</w:t>
            </w:r>
          </w:p>
        </w:tc>
        <w:tc>
          <w:tcPr>
            <w:tcW w:type="dxa" w:w="366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Replay validation across all seven scenarios; every forecast scored against the hidden truth.</w:t>
            </w:r>
          </w:p>
        </w:tc>
      </w:tr>
      <w:tr>
        <w:trPr>
          <w:cantSplit/>
        </w:trPr>
        <w:tc>
          <w:tcPr>
            <w:tcW w:type="dxa" w:w="203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Emergency alerting practice</w:t>
            </w:r>
          </w:p>
        </w:tc>
        <w:tc>
          <w:tcPr>
            <w:tcW w:type="dxa" w:w="447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OASIS CAP 1.2 vocabulary; GSM 03.38 encoding limits; the distinction between exercise and live messages.</w:t>
            </w:r>
          </w:p>
        </w:tc>
        <w:tc>
          <w:tcPr>
            <w:tcW w:type="dxa" w:w="366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Warnings page; segment counting; every product marked EXERCISE.</w:t>
            </w:r>
          </w:p>
        </w:tc>
      </w:tr>
      <w:tr>
        <w:trPr>
          <w:cantSplit/>
        </w:trPr>
        <w:tc>
          <w:tcPr>
            <w:tcW w:type="dxa" w:w="203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Epidemiology</w:t>
            </w:r>
          </w:p>
        </w:tc>
        <w:tc>
          <w:tcPr>
            <w:tcW w:type="dxa" w:w="447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reproduction number: whether a process is self-sustaining or externally driven.</w:t>
            </w:r>
          </w:p>
        </w:tc>
        <w:tc>
          <w:tcPr>
            <w:tcW w:type="dxa" w:w="366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Cascade-R — stress arriving through dependencies divided by stress arriving from the hazard.</w:t>
            </w:r>
          </w:p>
        </w:tc>
      </w:tr>
    </w:tbl>
    <w:p>
      <w:pPr>
        <w:spacing w:after="10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Case studies we learned from</w:t>
      </w:r>
    </w:p>
    <w:tbl>
      <w:tblPr>
        <w:tblW w:type="dxa" w:w="10180"/>
        <w:tblBorders>
          <w:top w:val="none"/>
          <w:left w:val="none"/>
          <w:bottom w:val="none"/>
          <w:right w:val="none"/>
          <w:insideH w:val="single" w:color="auto" w:sz="4"/>
          <w:insideV w:val="single" w:color="auto" w:sz="4"/>
        </w:tblBorders>
      </w:tblPr>
      <w:tblGrid>
        <w:gridCol w:w="5090"/>
        <w:gridCol w:w="5090"/>
      </w:tblGrid>
      <w:tr>
        <w:tc>
          <w:tcPr>
            <w:tcW w:type="dxa" w:w="5090"/>
            <w:tcBorders>
              <w:top w:val="none"/>
              <w:left w:val="none"/>
              <w:bottom w:val="none"/>
              <w:right w:val="none"/>
            </w:tcBorders>
            <w:tcMar>
              <w:top w:type="dxa" w:w="0"/>
              <w:left w:type="dxa" w:w="0"/>
              <w:bottom w:type="dxa" w:w="0"/>
              <w:right w:type="dxa" w:w="150"/>
            </w:tcMar>
          </w:tcPr>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Nagpur, 23 September 2023.</w:t>
            </w:r>
            <w:r>
              <w:rPr>
                <w:rFonts w:ascii="Calibri" w:cs="Calibri" w:eastAsia="Calibri" w:hAnsi="Calibri"/>
                <w:color w:val="14181D"/>
                <w:sz w:val="19"/>
                <w:szCs w:val="19"/>
              </w:rPr>
              <w:t xml:space="preserve"> The reconstruction built into the prototype. Rain timing and totals follow IMD-reported figures; the cascade through roads, power and hospitals is modeled. It is the clearest local example of a chain nobody forecast.</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Texas, February 2021.</w:t>
            </w:r>
            <w:r>
              <w:rPr>
                <w:rFonts w:ascii="Calibri" w:cs="Calibri" w:eastAsia="Calibri" w:hAnsi="Calibri"/>
                <w:color w:val="14181D"/>
                <w:sz w:val="19"/>
                <w:szCs w:val="19"/>
              </w:rPr>
              <w:t xml:space="preserve"> Gas supply, generation and water treatment failed in a chain over several days. The sequence, not any single failure, produced the harm — the canonical argument for cross-system forecasting.</w:t>
            </w:r>
          </w:p>
        </w:tc>
        <w:tc>
          <w:tcPr>
            <w:tcW w:type="dxa" w:w="5090"/>
            <w:tcBorders>
              <w:top w:val="none"/>
              <w:left w:val="none"/>
              <w:bottom w:val="none"/>
              <w:right w:val="none"/>
            </w:tcBorders>
            <w:tcMar>
              <w:top w:type="dxa" w:w="0"/>
              <w:left w:type="dxa" w:w="0"/>
              <w:bottom w:type="dxa" w:w="0"/>
              <w:right w:type="dxa" w:w="150"/>
            </w:tcMar>
          </w:tcPr>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Mumbai, 26 July 2005.</w:t>
            </w:r>
            <w:r>
              <w:rPr>
                <w:rFonts w:ascii="Calibri" w:cs="Calibri" w:eastAsia="Calibri" w:hAnsi="Calibri"/>
                <w:color w:val="14181D"/>
                <w:sz w:val="19"/>
                <w:szCs w:val="19"/>
              </w:rPr>
              <w:t xml:space="preserve"> Rainfall overwhelmed drainage, then roads, then communications. Demonstrated that in dense Indian cities the road network is the transmission medium between water and health.</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Chennai, December 2015.</w:t>
            </w:r>
            <w:r>
              <w:rPr>
                <w:rFonts w:ascii="Calibri" w:cs="Calibri" w:eastAsia="Calibri" w:hAnsi="Calibri"/>
                <w:color w:val="14181D"/>
                <w:sz w:val="19"/>
                <w:szCs w:val="19"/>
              </w:rPr>
              <w:t xml:space="preserve"> Flooding took substations offline; hospitals ran on generators and evacuated. Directly motivated our telecom and power-to-hospital links.</w:t>
            </w:r>
          </w:p>
        </w:tc>
      </w:tr>
    </w:tbl>
    <w:p>
      <w:pPr>
        <w:spacing w:after="70" w:before="0"/>
      </w:pPr>
      <w:r>
        <w:rPr>
          <w:sz w:val="2"/>
          <w:szCs w:val="2"/>
        </w:rPr>
        <w:t xml:space="preserve"/>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0180"/>
      </w:tblGrid>
      <w:tr>
        <w:tc>
          <w:tcPr>
            <w:tcW w:type="dxa" w:w="10180"/>
            <w:tcBorders>
              <w:top w:val="single" w:color="8A6A12" w:sz="4"/>
              <w:left w:val="single" w:color="8A6A12" w:sz="18"/>
              <w:bottom w:val="single" w:color="8A6A12" w:sz="4"/>
              <w:right w:val="single" w:color="8A6A12" w:sz="4"/>
            </w:tcBorders>
            <w:shd w:fill="EEF3F8" w:color="auto" w:val="clear"/>
            <w:tcMar>
              <w:top w:type="dxa" w:w="90"/>
              <w:left w:type="dxa" w:w="130"/>
              <w:bottom w:type="dxa" w:w="90"/>
              <w:right w:type="dxa" w:w="130"/>
            </w:tcMar>
          </w:tcPr>
          <w:p>
            <w:pPr>
              <w:spacing w:after="45"/>
            </w:pPr>
            <w:r>
              <w:rPr>
                <w:rFonts w:ascii="Calibri" w:cs="Calibri" w:eastAsia="Calibri" w:hAnsi="Calibri"/>
                <w:b/>
                <w:bCs/>
                <w:color w:val="8A6A12"/>
                <w:sz w:val="19"/>
                <w:szCs w:val="19"/>
              </w:rPr>
              <w:t xml:space="preserve">What we concluded</w:t>
            </w:r>
          </w:p>
          <w:p>
            <w:pPr>
              <w:spacing w:after="0" w:line="245"/>
            </w:pPr>
            <w:r>
              <w:rPr>
                <w:rFonts w:ascii="Calibri" w:cs="Calibri" w:eastAsia="Calibri" w:hAnsi="Calibri"/>
                <w:color w:val="14181D"/>
                <w:sz w:val="18"/>
                <w:szCs w:val="18"/>
              </w:rPr>
              <w:t xml:space="preserve">In every case the individual warnings existed. What did not exist was a statement of </w:t>
            </w:r>
            <w:r>
              <w:rPr>
                <w:rFonts w:ascii="Calibri" w:cs="Calibri" w:eastAsia="Calibri" w:hAnsi="Calibri"/>
                <w:b/>
                <w:bCs/>
                <w:color w:val="14181D"/>
                <w:sz w:val="18"/>
                <w:szCs w:val="18"/>
              </w:rPr>
              <w:t xml:space="preserve">sequence and timing across departments</w:t>
            </w:r>
            <w:r>
              <w:rPr>
                <w:rFonts w:ascii="Calibri" w:cs="Calibri" w:eastAsia="Calibri" w:hAnsi="Calibri"/>
                <w:color w:val="14181D"/>
                <w:sz w:val="18"/>
                <w:szCs w:val="18"/>
              </w:rPr>
              <w:t xml:space="preserve"> — which failure arrives next, how long until it does, and what action still has time to work.</w:t>
            </w:r>
          </w:p>
        </w:tc>
      </w:tr>
    </w:tbl>
    <w:p>
      <w:pPr>
        <w:pStyle w:val="Heading1"/>
        <w:pBdr>
          <w:bottom w:val="single" w:color="1F4E79" w:sz="10" w:space="3"/>
        </w:pBdr>
        <w:spacing w:after="110" w:before="170"/>
      </w:pPr>
      <w:r>
        <w:rPr>
          <w:rFonts w:ascii="Calibri" w:cs="Calibri" w:eastAsia="Calibri" w:hAnsi="Calibri"/>
          <w:b/>
          <w:bCs/>
          <w:color w:val="C9D2DC"/>
          <w:sz w:val="26"/>
          <w:szCs w:val="26"/>
        </w:rPr>
        <w:t xml:space="preserve">04  </w:t>
      </w:r>
      <w:r>
        <w:rPr>
          <w:rFonts w:ascii="Calibri" w:cs="Calibri" w:eastAsia="Calibri" w:hAnsi="Calibri"/>
          <w:b/>
          <w:bCs/>
          <w:color w:val="1F4E79"/>
          <w:sz w:val="26"/>
          <w:szCs w:val="26"/>
        </w:rPr>
        <w:t xml:space="preserve">Our approach</w:t>
      </w:r>
    </w:p>
    <w:p>
      <w:pPr>
        <w:spacing w:after="90" w:before="0" w:line="250"/>
      </w:pPr>
      <w:r>
        <w:rPr>
          <w:rFonts w:ascii="Calibri" w:cs="Calibri" w:eastAsia="Calibri" w:hAnsi="Calibri"/>
          <w:color w:val="14181D"/>
          <w:sz w:val="19"/>
          <w:szCs w:val="19"/>
        </w:rPr>
        <w:t xml:space="preserve">One model of the city, one ensemble, and six views onto it. Everything a user sees is computed from the same state at the same issue time, so no two screens can disagree.</w:t>
      </w:r>
    </w:p>
    <w:p>
      <w:pPr>
        <w:spacing w:after="25" w:before="50"/>
        <w:jc w:val="center"/>
      </w:pPr>
      <w:r>
        <w:drawing>
          <wp:inline distT="0" distB="0" distL="0" distR="0">
            <wp:extent cx="5953125"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53125" cy="243840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Figure 2 — System architecture. Data preparation is offline and per city; everything above it runs in the browser from a single shared engine instance.</w:t>
      </w:r>
    </w:p>
    <w:p>
      <w:pPr>
        <w:pStyle w:val="Heading2"/>
        <w:spacing w:after="65" w:before="130"/>
      </w:pPr>
      <w:r>
        <w:rPr>
          <w:rFonts w:ascii="Calibri" w:cs="Calibri" w:eastAsia="Calibri" w:hAnsi="Calibri"/>
          <w:b/>
          <w:bCs/>
          <w:color w:val="14181D"/>
          <w:sz w:val="21"/>
          <w:szCs w:val="21"/>
        </w:rPr>
        <w:t xml:space="preserve">Four ideas that make it work</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730"/>
        <w:gridCol w:w="4683"/>
        <w:gridCol w:w="3767"/>
      </w:tblGrid>
      <w:tr>
        <w:trPr>
          <w:cantSplit/>
          <w:tblHeader/>
        </w:trPr>
        <w:tc>
          <w:tcPr>
            <w:tcW w:type="dxa" w:w="173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
            </w:r>
          </w:p>
        </w:tc>
        <w:tc>
          <w:tcPr>
            <w:tcW w:type="dxa" w:w="4683"/>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What it is</w:t>
            </w:r>
          </w:p>
        </w:tc>
        <w:tc>
          <w:tcPr>
            <w:tcW w:type="dxa" w:w="3767"/>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Why it matters</w:t>
            </w:r>
          </w:p>
        </w:tc>
      </w:tr>
      <w:tr>
        <w:trPr>
          <w:cantSplit/>
        </w:trPr>
        <w:tc>
          <w:tcPr>
            <w:tcW w:type="dxa" w:w="173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Learned dependencies</w:t>
            </w:r>
          </w:p>
        </w:tc>
        <w:tc>
          <w:tcPr>
            <w:tcW w:type="dxa" w:w="468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We supply 71 (Raleigh) / 102 (Nagpur) candidate links that engineers consider possible — including 7 deliberately fake ones. The system confirms or prunes each from the data.</w:t>
            </w:r>
          </w:p>
        </w:tc>
        <w:tc>
          <w:tcPr>
            <w:tcW w:type="dxa" w:w="376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 hand-written graph is only as good as the person who wrote it, and it cannot adapt. Ours is evidence, and the fakes prove it discriminates.</w:t>
            </w:r>
          </w:p>
        </w:tc>
      </w:tr>
      <w:tr>
        <w:trPr>
          <w:cantSplit/>
        </w:trPr>
        <w:tc>
          <w:tcPr>
            <w:tcW w:type="dxa" w:w="173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Cascade-R</w:t>
            </w:r>
          </w:p>
        </w:tc>
        <w:tc>
          <w:tcPr>
            <w:tcW w:type="dxa" w:w="468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Stress arriving through dependencies divided by stress arriving from the hazard. Above 1, the cascade sustains itself.</w:t>
            </w:r>
          </w:p>
        </w:tc>
        <w:tc>
          <w:tcPr>
            <w:tcW w:type="dxa" w:w="376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Tells the operator whether to wait out the weather or cut links. These need opposite actions.</w:t>
            </w:r>
          </w:p>
        </w:tc>
      </w:tr>
      <w:tr>
        <w:trPr>
          <w:cantSplit/>
        </w:trPr>
        <w:tc>
          <w:tcPr>
            <w:tcW w:type="dxa" w:w="173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Crisis registry</w:t>
            </w:r>
          </w:p>
        </w:tc>
        <w:tc>
          <w:tcPr>
            <w:tcW w:type="dxa" w:w="468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Connected stressed facilities are grouped into distinct crises with an ID, a lifecycle stage, a footprint, residents affected, and the couplings between them.</w:t>
            </w:r>
          </w:p>
        </w:tc>
        <w:tc>
          <w:tcPr>
            <w:tcW w:type="dxa" w:w="376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Turns "the city is at 71%" into "four separate emergencies, here are their owners".</w:t>
            </w:r>
          </w:p>
        </w:tc>
      </w:tr>
      <w:tr>
        <w:trPr>
          <w:cantSplit/>
        </w:trPr>
        <w:tc>
          <w:tcPr>
            <w:tcW w:type="dxa" w:w="173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Decision deadline</w:t>
            </w:r>
          </w:p>
        </w:tc>
        <w:tc>
          <w:tcPr>
            <w:tcW w:type="dxa" w:w="468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plan re-run with crews starting 0, 2, 4 … 24 h later, deciding on the same information.</w:t>
            </w:r>
          </w:p>
        </w:tc>
        <w:tc>
          <w:tcPr>
            <w:tcW w:type="dxa" w:w="376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single most actionable output. Converts "act soon" into a time.</w:t>
            </w:r>
          </w:p>
        </w:tc>
      </w:tr>
    </w:tbl>
    <w:p>
      <w:pPr>
        <w:spacing w:after="90" w:before="0"/>
      </w:pPr>
      <w:r>
        <w:rPr>
          <w:sz w:val="2"/>
          <w:szCs w:val="2"/>
        </w:rPr>
        <w:t xml:space="preserve"/>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0180"/>
      </w:tblGrid>
      <w:tr>
        <w:tc>
          <w:tcPr>
            <w:tcW w:type="dxa" w:w="10180"/>
            <w:tcBorders>
              <w:top w:val="single" w:color="246B4C" w:sz="4"/>
              <w:left w:val="single" w:color="246B4C" w:sz="18"/>
              <w:bottom w:val="single" w:color="246B4C" w:sz="4"/>
              <w:right w:val="single" w:color="246B4C" w:sz="4"/>
            </w:tcBorders>
            <w:shd w:fill="EEF3F8" w:color="auto" w:val="clear"/>
            <w:tcMar>
              <w:top w:type="dxa" w:w="90"/>
              <w:left w:type="dxa" w:w="130"/>
              <w:bottom w:type="dxa" w:w="90"/>
              <w:right w:type="dxa" w:w="130"/>
            </w:tcMar>
          </w:tcPr>
          <w:p>
            <w:pPr>
              <w:spacing w:after="45"/>
            </w:pPr>
            <w:r>
              <w:rPr>
                <w:rFonts w:ascii="Calibri" w:cs="Calibri" w:eastAsia="Calibri" w:hAnsi="Calibri"/>
                <w:b/>
                <w:bCs/>
                <w:color w:val="246B4C"/>
                <w:sz w:val="19"/>
                <w:szCs w:val="19"/>
              </w:rPr>
              <w:t xml:space="preserve">Unique approach, stated plainly</w:t>
            </w:r>
          </w:p>
          <w:p>
            <w:pPr>
              <w:spacing w:after="0" w:line="245"/>
            </w:pPr>
            <w:r>
              <w:rPr>
                <w:rFonts w:ascii="Calibri" w:cs="Calibri" w:eastAsia="Calibri" w:hAnsi="Calibri"/>
                <w:color w:val="14181D"/>
                <w:sz w:val="18"/>
                <w:szCs w:val="18"/>
              </w:rPr>
              <w:t xml:space="preserve">Other systems forecast </w:t>
            </w:r>
            <w:r>
              <w:rPr>
                <w:rFonts w:ascii="Calibri" w:cs="Calibri" w:eastAsia="Calibri" w:hAnsi="Calibri"/>
                <w:b/>
                <w:bCs/>
                <w:color w:val="14181D"/>
                <w:sz w:val="18"/>
                <w:szCs w:val="18"/>
              </w:rPr>
              <w:t xml:space="preserve">states</w:t>
            </w:r>
            <w:r>
              <w:rPr>
                <w:rFonts w:ascii="Calibri" w:cs="Calibri" w:eastAsia="Calibri" w:hAnsi="Calibri"/>
                <w:color w:val="14181D"/>
                <w:sz w:val="18"/>
                <w:szCs w:val="18"/>
              </w:rPr>
              <w:t xml:space="preserve">. We forecast </w:t>
            </w:r>
            <w:r>
              <w:rPr>
                <w:rFonts w:ascii="Calibri" w:cs="Calibri" w:eastAsia="Calibri" w:hAnsi="Calibri"/>
                <w:b/>
                <w:bCs/>
                <w:color w:val="14181D"/>
                <w:sz w:val="18"/>
                <w:szCs w:val="18"/>
              </w:rPr>
              <w:t xml:space="preserve">transitions between systems</w:t>
            </w:r>
            <w:r>
              <w:rPr>
                <w:rFonts w:ascii="Calibri" w:cs="Calibri" w:eastAsia="Calibri" w:hAnsi="Calibri"/>
                <w:color w:val="14181D"/>
                <w:sz w:val="18"/>
                <w:szCs w:val="18"/>
              </w:rPr>
              <w:t xml:space="preserve">, and then price the delay. The question we answer that nothing else does is: </w:t>
            </w:r>
            <w:r>
              <w:rPr>
                <w:rFonts w:ascii="Calibri" w:cs="Calibri" w:eastAsia="Calibri" w:hAnsi="Calibri"/>
                <w:i/>
                <w:iCs/>
                <w:color w:val="14181D"/>
                <w:sz w:val="18"/>
                <w:szCs w:val="18"/>
              </w:rPr>
              <w:t xml:space="preserve">by when must we move, and what does it cost us if we do not?</w:t>
            </w:r>
          </w:p>
        </w:tc>
      </w:tr>
    </w:tbl>
    <w:p>
      <w:pPr>
        <w:pStyle w:val="Heading1"/>
        <w:pBdr>
          <w:bottom w:val="single" w:color="1F4E79" w:sz="10" w:space="3"/>
        </w:pBdr>
        <w:spacing w:after="110" w:before="170"/>
      </w:pPr>
      <w:r>
        <w:rPr>
          <w:rFonts w:ascii="Calibri" w:cs="Calibri" w:eastAsia="Calibri" w:hAnsi="Calibri"/>
          <w:b/>
          <w:bCs/>
          <w:color w:val="C9D2DC"/>
          <w:sz w:val="26"/>
          <w:szCs w:val="26"/>
        </w:rPr>
        <w:t xml:space="preserve">05  </w:t>
      </w:r>
      <w:r>
        <w:rPr>
          <w:rFonts w:ascii="Calibri" w:cs="Calibri" w:eastAsia="Calibri" w:hAnsi="Calibri"/>
          <w:b/>
          <w:bCs/>
          <w:color w:val="1F4E79"/>
          <w:sz w:val="26"/>
          <w:szCs w:val="26"/>
        </w:rPr>
        <w:t xml:space="preserve">Moat and differentiation</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443"/>
        <w:gridCol w:w="7737"/>
      </w:tblGrid>
      <w:tr>
        <w:trPr>
          <w:cantSplit/>
          <w:tblHeader/>
        </w:trPr>
        <w:tc>
          <w:tcPr>
            <w:tcW w:type="dxa" w:w="2443"/>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Moat</w:t>
            </w:r>
          </w:p>
        </w:tc>
        <w:tc>
          <w:tcPr>
            <w:tcW w:type="dxa" w:w="7737"/>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Why it is hard to copy</w:t>
            </w:r>
          </w:p>
        </w:tc>
      </w:tr>
      <w:tr>
        <w:trPr>
          <w:cantSplit/>
        </w:trPr>
        <w:tc>
          <w:tcPr>
            <w:tcW w:type="dxa" w:w="244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Learned structure, not configuration</w:t>
            </w:r>
          </w:p>
        </w:tc>
        <w:tc>
          <w:tcPr>
            <w:tcW w:type="dxa" w:w="773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 competitor can copy a dependency diagram. They cannot copy a system that discovers and re-learns the diagram per hazard — the learned graph for a flood differs from the one for a heat wave in the same city, and ours changes with the scenario.</w:t>
            </w:r>
          </w:p>
        </w:tc>
      </w:tr>
      <w:tr>
        <w:trPr>
          <w:cantSplit/>
        </w:trPr>
        <w:tc>
          <w:tcPr>
            <w:tcW w:type="dxa" w:w="244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Portability by specification</w:t>
            </w:r>
          </w:p>
        </w:tc>
        <w:tc>
          <w:tcPr>
            <w:tcW w:type="dxa" w:w="773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 new city needs an OSM extract and one specification file naming its monitored assets and candidate links. Raleigh is deliberately kept as the "unseen city" test: the same engine, untuned, runs it.</w:t>
            </w:r>
          </w:p>
        </w:tc>
      </w:tr>
      <w:tr>
        <w:trPr>
          <w:cantSplit/>
        </w:trPr>
        <w:tc>
          <w:tcPr>
            <w:tcW w:type="dxa" w:w="244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Verifiable honesty</w:t>
            </w:r>
          </w:p>
        </w:tc>
        <w:tc>
          <w:tcPr>
            <w:tcW w:type="dxa" w:w="773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Member trajectories are simulated from parameters alone and never touched by observations; only weights move. A forecast issued at T+30 physically cannot contain T+31 data. That is architectural, not procedural — and it is auditable.</w:t>
            </w:r>
          </w:p>
        </w:tc>
      </w:tr>
      <w:tr>
        <w:trPr>
          <w:cantSplit/>
        </w:trPr>
        <w:tc>
          <w:tcPr>
            <w:tcW w:type="dxa" w:w="244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Reproducibility</w:t>
            </w:r>
          </w:p>
        </w:tc>
        <w:tc>
          <w:tcPr>
            <w:tcW w:type="dxa" w:w="773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Every figure is seeded and deterministic. A regression guard diffs the entire engine output byte-for-byte, so interface work provably does not move a single forecast.</w:t>
            </w:r>
          </w:p>
        </w:tc>
      </w:tr>
      <w:tr>
        <w:trPr>
          <w:cantSplit/>
        </w:trPr>
        <w:tc>
          <w:tcPr>
            <w:tcW w:type="dxa" w:w="244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Decision-grade output</w:t>
            </w:r>
          </w:p>
        </w:tc>
        <w:tc>
          <w:tcPr>
            <w:tcW w:type="dxa" w:w="773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We ship the counterfactual, the side effects and the deadline — not a dashboard that leaves the inference to the operator.</w:t>
            </w:r>
          </w:p>
        </w:tc>
      </w:tr>
      <w:tr>
        <w:trPr>
          <w:cantSplit/>
        </w:trPr>
        <w:tc>
          <w:tcPr>
            <w:tcW w:type="dxa" w:w="244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Last-mile reach</w:t>
            </w:r>
          </w:p>
        </w:tc>
        <w:tc>
          <w:tcPr>
            <w:tcW w:type="dxa" w:w="773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CAP 1.2 and cell-broadcast text in the city's own languages, with encoding and segment counts. Hindi costs three SMS segments where English costs one; a system that ignores this issues warnings that get truncated.</w:t>
            </w:r>
          </w:p>
        </w:tc>
      </w:tr>
    </w:tbl>
    <w:p>
      <w:pPr>
        <w:spacing w:after="9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USP</w:t>
      </w:r>
    </w:p>
    <w:p>
      <w:pPr>
        <w:spacing w:after="90" w:before="0" w:line="250"/>
      </w:pPr>
      <w:r>
        <w:rPr>
          <w:rFonts w:ascii="Calibri" w:cs="Calibri" w:eastAsia="Calibri" w:hAnsi="Calibri"/>
          <w:b/>
          <w:bCs/>
          <w:color w:val="14181D"/>
          <w:sz w:val="19"/>
          <w:szCs w:val="19"/>
        </w:rPr>
        <w:t xml:space="preserve">The only urban twin that tells you how long you have left to act.</w:t>
      </w:r>
      <w:r>
        <w:rPr>
          <w:rFonts w:ascii="Calibri" w:cs="Calibri" w:eastAsia="Calibri" w:hAnsi="Calibri"/>
          <w:color w:val="14181D"/>
          <w:sz w:val="19"/>
          <w:szCs w:val="19"/>
        </w:rPr>
        <w:t xml:space="preserve"> Risk scores are commodity. A calibrated statement that a plan worth 55% now is worth nothing in six hours is not.</w:t>
      </w:r>
    </w:p>
    <w:p>
      <w:pPr>
        <w:spacing w:after="25" w:before="50"/>
        <w:jc w:val="center"/>
      </w:pPr>
      <w:r>
        <w:drawing>
          <wp:inline distT="0" distB="0" distL="0" distR="0">
            <wp:extent cx="5953125"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53125" cy="95250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Figure 6 — The same calculation, opposite instructions. A dashboard showing only risk cannot tell these two situations apart.</w:t>
      </w:r>
    </w:p>
    <w:p>
      <w:pPr>
        <w:pStyle w:val="Heading1"/>
        <w:pBdr>
          <w:bottom w:val="single" w:color="1F4E79" w:sz="10" w:space="3"/>
        </w:pBdr>
        <w:spacing w:after="110" w:before="170"/>
      </w:pPr>
      <w:r>
        <w:rPr>
          <w:rFonts w:ascii="Calibri" w:cs="Calibri" w:eastAsia="Calibri" w:hAnsi="Calibri"/>
          <w:b/>
          <w:bCs/>
          <w:color w:val="C9D2DC"/>
          <w:sz w:val="26"/>
          <w:szCs w:val="26"/>
        </w:rPr>
        <w:t xml:space="preserve">06  </w:t>
      </w:r>
      <w:r>
        <w:rPr>
          <w:rFonts w:ascii="Calibri" w:cs="Calibri" w:eastAsia="Calibri" w:hAnsi="Calibri"/>
          <w:b/>
          <w:bCs/>
          <w:color w:val="1F4E79"/>
          <w:sz w:val="26"/>
          <w:szCs w:val="26"/>
        </w:rPr>
        <w:t xml:space="preserve">Features and functions</w:t>
      </w:r>
    </w:p>
    <w:p>
      <w:pPr>
        <w:spacing w:after="90" w:before="0" w:line="250"/>
      </w:pPr>
      <w:r>
        <w:rPr>
          <w:rFonts w:ascii="Calibri" w:cs="Calibri" w:eastAsia="Calibri" w:hAnsi="Calibri"/>
          <w:color w:val="14181D"/>
          <w:sz w:val="19"/>
          <w:szCs w:val="19"/>
        </w:rPr>
        <w:t xml:space="preserve">Six features in a permanent sidebar, ordered as the operator works: what is happening, what crises, see it, what we do, tell responders, tell residents.</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407"/>
        <w:gridCol w:w="1527"/>
        <w:gridCol w:w="5294"/>
        <w:gridCol w:w="2952"/>
      </w:tblGrid>
      <w:tr>
        <w:trPr>
          <w:cantSplit/>
          <w:tblHeader/>
        </w:trPr>
        <w:tc>
          <w:tcPr>
            <w:tcW w:type="dxa" w:w="407"/>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t>
            </w:r>
          </w:p>
        </w:tc>
        <w:tc>
          <w:tcPr>
            <w:tcW w:type="dxa" w:w="1527"/>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Feature</w:t>
            </w:r>
          </w:p>
        </w:tc>
        <w:tc>
          <w:tcPr>
            <w:tcW w:type="dxa" w:w="5294"/>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Function</w:t>
            </w:r>
          </w:p>
        </w:tc>
        <w:tc>
          <w:tcPr>
            <w:tcW w:type="dxa" w:w="2952"/>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Output</w:t>
            </w:r>
          </w:p>
        </w:tc>
      </w:tr>
      <w:tr>
        <w:trPr>
          <w:cantSplit/>
        </w:trPr>
        <w:tc>
          <w:tcPr>
            <w:tcW w:type="dxa" w:w="40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1</w:t>
            </w:r>
          </w:p>
        </w:tc>
        <w:tc>
          <w:tcPr>
            <w:tcW w:type="dxa" w:w="152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Situation</w:t>
            </w:r>
          </w:p>
        </w:tc>
        <w:tc>
          <w:tcPr>
            <w:tcW w:type="dxa" w:w="529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state of the city in computed sentences; the predicted course of Cascade-R; when each facility first crosses HIGH RISK and CRITICAL, by system.</w:t>
            </w:r>
          </w:p>
        </w:tc>
        <w:tc>
          <w:tcPr>
            <w:tcW w:type="dxa" w:w="295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One-screen brief, no interpretation needed</w:t>
            </w:r>
          </w:p>
        </w:tc>
      </w:tr>
      <w:tr>
        <w:trPr>
          <w:cantSplit/>
        </w:trPr>
        <w:tc>
          <w:tcPr>
            <w:tcW w:type="dxa" w:w="40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2</w:t>
            </w:r>
          </w:p>
        </w:tc>
        <w:tc>
          <w:tcPr>
            <w:tcW w:type="dxa" w:w="152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Crises</w:t>
            </w:r>
          </w:p>
        </w:tc>
        <w:tc>
          <w:tcPr>
            <w:tcW w:type="dxa" w:w="529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registry: distinct emergencies with ID, stage, member systems, districts, residents, next facility to go critical, and couplings between crises.</w:t>
            </w:r>
          </w:p>
        </w:tc>
        <w:tc>
          <w:tcPr>
            <w:tcW w:type="dxa" w:w="295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Ownership and scope per emergency</w:t>
            </w:r>
          </w:p>
        </w:tc>
      </w:tr>
      <w:tr>
        <w:trPr>
          <w:cantSplit/>
        </w:trPr>
        <w:tc>
          <w:tcPr>
            <w:tcW w:type="dxa" w:w="40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3</w:t>
            </w:r>
          </w:p>
        </w:tc>
        <w:tc>
          <w:tcPr>
            <w:tcW w:type="dxa" w:w="152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City twin</w:t>
            </w:r>
          </w:p>
        </w:tc>
        <w:tc>
          <w:tcPr>
            <w:tcW w:type="dxa" w:w="529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3D operations room on real OSM buildings. Per-facility inspector: what drives it now, which upstream links, sensor trust, forecast fan. Dependency graph and replay validation in drawers.</w:t>
            </w:r>
          </w:p>
        </w:tc>
        <w:tc>
          <w:tcPr>
            <w:tcW w:type="dxa" w:w="295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Situational awareness and audit</w:t>
            </w:r>
          </w:p>
        </w:tc>
      </w:tr>
      <w:tr>
        <w:trPr>
          <w:cantSplit/>
        </w:trPr>
        <w:tc>
          <w:tcPr>
            <w:tcW w:type="dxa" w:w="40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4</w:t>
            </w:r>
          </w:p>
        </w:tc>
        <w:tc>
          <w:tcPr>
            <w:tcW w:type="dxa" w:w="152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Response</w:t>
            </w:r>
          </w:p>
        </w:tc>
        <w:tc>
          <w:tcPr>
            <w:tcW w:type="dxa" w:w="529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Action catalogue with crew costs; what each action is worth alone; a before/after ledger; side effects elsewhere; and the decision deadline.</w:t>
            </w:r>
          </w:p>
        </w:tc>
        <w:tc>
          <w:tcPr>
            <w:tcW w:type="dxa" w:w="295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 plan, its price, and a start-by time</w:t>
            </w:r>
          </w:p>
        </w:tc>
      </w:tr>
      <w:tr>
        <w:trPr>
          <w:cantSplit/>
        </w:trPr>
        <w:tc>
          <w:tcPr>
            <w:tcW w:type="dxa" w:w="40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5</w:t>
            </w:r>
          </w:p>
        </w:tc>
        <w:tc>
          <w:tcPr>
            <w:tcW w:type="dxa" w:w="152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Warnings</w:t>
            </w:r>
          </w:p>
        </w:tc>
        <w:tc>
          <w:tcPr>
            <w:tcW w:type="dxa" w:w="529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Situation report for responders; CAP 1.2 alert per crisis with one block per language; public cell-broadcast text with encoding and segment count.</w:t>
            </w:r>
          </w:p>
        </w:tc>
        <w:tc>
          <w:tcPr>
            <w:tcW w:type="dxa" w:w="295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Products ready for an alerting gateway</w:t>
            </w:r>
          </w:p>
        </w:tc>
      </w:tr>
      <w:tr>
        <w:trPr>
          <w:cantSplit/>
        </w:trPr>
        <w:tc>
          <w:tcPr>
            <w:tcW w:type="dxa" w:w="40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6</w:t>
            </w:r>
          </w:p>
        </w:tc>
        <w:tc>
          <w:tcPr>
            <w:tcW w:type="dxa" w:w="152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My area</w:t>
            </w:r>
          </w:p>
        </w:tc>
        <w:tc>
          <w:tcPr>
            <w:tcW w:type="dxa" w:w="529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same forecast for a resident: plain-language verdict, next 36 hours per system, advice in the city's languages, nearest hospital, roads to avoid.</w:t>
            </w:r>
          </w:p>
        </w:tc>
        <w:tc>
          <w:tcPr>
            <w:tcW w:type="dxa" w:w="295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last mile</w:t>
            </w:r>
          </w:p>
        </w:tc>
      </w:tr>
    </w:tbl>
    <w:p>
      <w:pPr>
        <w:spacing w:after="8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Seven scenarios, one engine</w:t>
      </w:r>
    </w:p>
    <w:p>
      <w:pPr>
        <w:spacing w:after="90" w:before="0" w:line="250"/>
      </w:pPr>
      <w:r>
        <w:rPr>
          <w:rFonts w:ascii="Calibri" w:cs="Calibri" w:eastAsia="Calibri" w:hAnsi="Calibri"/>
          <w:color w:val="14181D"/>
          <w:sz w:val="19"/>
          <w:szCs w:val="19"/>
        </w:rPr>
        <w:t xml:space="preserve">The same model runs every hazard family without retuning. Each scenario was chosen because it stresses a different part of the chain.</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647"/>
        <w:gridCol w:w="1222"/>
        <w:gridCol w:w="3868"/>
        <w:gridCol w:w="2443"/>
      </w:tblGrid>
      <w:tr>
        <w:trPr>
          <w:cantSplit/>
          <w:tblHeader/>
        </w:trPr>
        <w:tc>
          <w:tcPr>
            <w:tcW w:type="dxa" w:w="2647"/>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Scenario</w:t>
            </w:r>
          </w:p>
        </w:tc>
        <w:tc>
          <w:tcPr>
            <w:tcW w:type="dxa" w:w="1222"/>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City</w:t>
            </w:r>
          </w:p>
        </w:tc>
        <w:tc>
          <w:tcPr>
            <w:tcW w:type="dxa" w:w="3868"/>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What it is</w:t>
            </w:r>
          </w:p>
        </w:tc>
        <w:tc>
          <w:tcPr>
            <w:tcW w:type="dxa" w:w="2443"/>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What it tests</w:t>
            </w:r>
          </w:p>
        </w:tc>
      </w:tr>
      <w:tr>
        <w:trPr>
          <w:cantSplit/>
        </w:trPr>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Monsoon cloudburst · 23 Sep 2023</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Nagpur</w:t>
            </w:r>
          </w:p>
        </w:tc>
        <w:tc>
          <w:tcPr>
            <w:tcW w:type="dxa" w:w="386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Reconstruction: about 106 mm in four hours, Ambazari Lake overflowing into the Nag. Timing and totals follow IMD-reported figures.</w:t>
            </w:r>
          </w:p>
        </w:tc>
        <w:tc>
          <w:tcPr>
            <w:tcW w:type="dxa" w:w="244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full chain, against a real event</w:t>
            </w:r>
          </w:p>
        </w:tc>
      </w:tr>
      <w:tr>
        <w:trPr>
          <w:cantSplit/>
        </w:trPr>
        <w:tc>
          <w:tcPr>
            <w:tcW w:type="dxa" w:w="264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Chlorine release</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Nagpur</w:t>
            </w:r>
          </w:p>
        </w:tc>
        <w:tc>
          <w:tcPr>
            <w:tcW w:type="dxa" w:w="386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 cylinder fails at the Seminary Hills treatment plant. The plume follows the wind; closures load the roads ambulances need.</w:t>
            </w:r>
          </w:p>
        </w:tc>
        <w:tc>
          <w:tcPr>
            <w:tcW w:type="dxa" w:w="244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 non-weather hazard with a hard deadline</w:t>
            </w:r>
          </w:p>
        </w:tc>
      </w:tr>
      <w:tr>
        <w:trPr>
          <w:cantSplit/>
        </w:trPr>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Immersion-day crowds + storm</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Nagpur</w:t>
            </w:r>
          </w:p>
        </w:tc>
        <w:tc>
          <w:tcPr>
            <w:tcW w:type="dxa" w:w="386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Processions converge on Gandhi Sagar and Futala while a thunderstorm builds over the streets that flood first.</w:t>
            </w:r>
          </w:p>
        </w:tc>
        <w:tc>
          <w:tcPr>
            <w:tcW w:type="dxa" w:w="244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Crowd and weather interacting</w:t>
            </w:r>
          </w:p>
        </w:tc>
      </w:tr>
      <w:tr>
        <w:trPr>
          <w:cantSplit/>
        </w:trPr>
        <w:tc>
          <w:tcPr>
            <w:tcW w:type="dxa" w:w="264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Grid fault + telecom blackout</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Both</w:t>
            </w:r>
          </w:p>
        </w:tc>
        <w:tc>
          <w:tcPr>
            <w:tcW w:type="dxa" w:w="386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 transmission fault drops a cluster of substations overnight. Mobile sites run down their batteries; calls stop reaching dispatch.</w:t>
            </w:r>
          </w:p>
        </w:tc>
        <w:tc>
          <w:tcPr>
            <w:tcW w:type="dxa" w:w="244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 cascade with no weather in it at all</w:t>
            </w:r>
          </w:p>
        </w:tc>
      </w:tr>
      <w:tr>
        <w:trPr>
          <w:cantSplit/>
        </w:trPr>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Tropical remnant rainfall</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Both</w:t>
            </w:r>
          </w:p>
        </w:tc>
        <w:tc>
          <w:tcPr>
            <w:tcW w:type="dxa" w:w="386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Two rain bands from a decaying tropical system; soils already saturated.</w:t>
            </w:r>
          </w:p>
        </w:tc>
        <w:tc>
          <w:tcPr>
            <w:tcW w:type="dxa" w:w="244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Slow-onset, wide-area flooding</w:t>
            </w:r>
          </w:p>
        </w:tc>
      </w:tr>
      <w:tr>
        <w:trPr>
          <w:cantSplit/>
        </w:trPr>
        <w:tc>
          <w:tcPr>
            <w:tcW w:type="dxa" w:w="264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Convective flash flood</w:t>
            </w:r>
          </w:p>
        </w:tc>
        <w:tc>
          <w:tcPr>
            <w:tcW w:type="dxa" w:w="122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Both</w:t>
            </w:r>
          </w:p>
        </w:tc>
        <w:tc>
          <w:tcPr>
            <w:tcW w:type="dxa" w:w="386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Training thunderstorms stall over one part of the city for three hours.</w:t>
            </w:r>
          </w:p>
        </w:tc>
        <w:tc>
          <w:tcPr>
            <w:tcW w:type="dxa" w:w="244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Fast, local, little warning</w:t>
            </w:r>
          </w:p>
        </w:tc>
      </w:tr>
      <w:tr>
        <w:trPr>
          <w:cantSplit/>
        </w:trPr>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Heat wave + derecho</w:t>
            </w:r>
          </w:p>
        </w:tc>
        <w:tc>
          <w:tcPr>
            <w:tcW w:type="dxa" w:w="122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Both</w:t>
            </w:r>
          </w:p>
        </w:tc>
        <w:tc>
          <w:tcPr>
            <w:tcW w:type="dxa" w:w="386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Three-day heat dome; a derecho line crosses late on day two.</w:t>
            </w:r>
          </w:p>
        </w:tc>
        <w:tc>
          <w:tcPr>
            <w:tcW w:type="dxa" w:w="244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Compound hazard on the grid</w:t>
            </w:r>
          </w:p>
        </w:tc>
      </w:tr>
    </w:tbl>
    <w:p>
      <w:pPr>
        <w:spacing w:after="90" w:before="0"/>
      </w:pPr>
      <w:r>
        <w:rPr>
          <w:sz w:val="2"/>
          <w:szCs w:val="2"/>
        </w:rPr>
        <w:t xml:space="preserve"/>
      </w:r>
    </w:p>
    <w:p>
      <w:pPr>
        <w:spacing w:after="25" w:before="50"/>
        <w:jc w:val="center"/>
      </w:pPr>
      <w:r>
        <w:drawing>
          <wp:inline distT="0" distB="0" distL="0" distR="0">
            <wp:extent cx="595312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53125" cy="335280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Feature 1 — Situation. The lede sentence, the predicted-course chart (Cascade-R observed then forecast, with first HIGH RISK and CRITICAL crossings by system), the crisis registry and the recommended response. Every figure recomputes when the clock is scrubbed.</w:t>
      </w:r>
    </w:p>
    <w:p>
      <w:pPr>
        <w:pStyle w:val="Heading2"/>
        <w:spacing w:after="65" w:before="130"/>
      </w:pPr>
      <w:r>
        <w:rPr>
          <w:rFonts w:ascii="Calibri" w:cs="Calibri" w:eastAsia="Calibri" w:hAnsi="Calibri"/>
          <w:b/>
          <w:bCs/>
          <w:color w:val="14181D"/>
          <w:sz w:val="21"/>
          <w:szCs w:val="21"/>
        </w:rPr>
        <w:t xml:space="preserve">From one risk number to named emergencies</w:t>
      </w:r>
    </w:p>
    <w:p>
      <w:pPr>
        <w:spacing w:after="90" w:before="0" w:line="250"/>
      </w:pPr>
      <w:r>
        <w:rPr>
          <w:rFonts w:ascii="Calibri" w:cs="Calibri" w:eastAsia="Calibri" w:hAnsi="Calibri"/>
          <w:color w:val="14181D"/>
          <w:sz w:val="19"/>
          <w:szCs w:val="19"/>
        </w:rPr>
        <w:t xml:space="preserve">The registry is what turns a city-wide index into something a duty officer can assign. Connected stressed facilities are grouped by the </w:t>
      </w:r>
      <w:r>
        <w:rPr>
          <w:rFonts w:ascii="Calibri" w:cs="Calibri" w:eastAsia="Calibri" w:hAnsi="Calibri"/>
          <w:b/>
          <w:bCs/>
          <w:color w:val="14181D"/>
          <w:sz w:val="19"/>
          <w:szCs w:val="19"/>
        </w:rPr>
        <w:t xml:space="preserve">learned</w:t>
      </w:r>
      <w:r>
        <w:rPr>
          <w:rFonts w:ascii="Calibri" w:cs="Calibri" w:eastAsia="Calibri" w:hAnsi="Calibri"/>
          <w:color w:val="14181D"/>
          <w:sz w:val="19"/>
          <w:szCs w:val="19"/>
        </w:rPr>
        <w:t xml:space="preserve"> graph: two facilities belong to the same crisis when a live link joins them, or when the forecast carries stress from one to the other. Each group gets a stable ID, a lifecycle stage, the systems and districts it touches, the residents inside its footprint, and the next facility forecast to go critical.</w:t>
      </w:r>
    </w:p>
    <w:tbl>
      <w:tblPr>
        <w:tblW w:type="dxa" w:w="10180"/>
        <w:tblBorders>
          <w:top w:val="none"/>
          <w:left w:val="none"/>
          <w:bottom w:val="none"/>
          <w:right w:val="none"/>
          <w:insideH w:val="single" w:color="auto" w:sz="4"/>
          <w:insideV w:val="single" w:color="auto" w:sz="4"/>
        </w:tblBorders>
      </w:tblPr>
      <w:tblGrid>
        <w:gridCol w:w="5090"/>
        <w:gridCol w:w="5090"/>
      </w:tblGrid>
      <w:tr>
        <w:tc>
          <w:tcPr>
            <w:tcW w:type="dxa" w:w="5090"/>
            <w:tcBorders>
              <w:top w:val="none"/>
              <w:left w:val="none"/>
              <w:bottom w:val="none"/>
              <w:right w:val="none"/>
            </w:tcBorders>
            <w:tcMar>
              <w:top w:type="dxa" w:w="0"/>
              <w:left w:type="dxa" w:w="0"/>
              <w:bottom w:type="dxa" w:w="0"/>
              <w:right w:type="dxa" w:w="150"/>
            </w:tcMar>
          </w:tcPr>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Couples</w:t>
            </w:r>
            <w:r>
              <w:rPr>
                <w:rFonts w:ascii="Calibri" w:cs="Calibri" w:eastAsia="Calibri" w:hAnsi="Calibri"/>
                <w:color w:val="14181D"/>
                <w:sz w:val="19"/>
                <w:szCs w:val="19"/>
              </w:rPr>
              <w:t xml:space="preserve"> — a live link runs from a member of one crisis to a member of another, so one can propagate into the other. Shown with the mechanism and the lag.</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Contends</w:t>
            </w:r>
            <w:r>
              <w:rPr>
                <w:rFonts w:ascii="Calibri" w:cs="Calibri" w:eastAsia="Calibri" w:hAnsi="Calibri"/>
                <w:color w:val="14181D"/>
                <w:sz w:val="19"/>
                <w:szCs w:val="19"/>
              </w:rPr>
              <w:t xml:space="preserve"> — two crises both load the same facility that belongs to neither. A shared hospital or substation is where separate emergencies collide.</w:t>
            </w:r>
          </w:p>
        </w:tc>
        <w:tc>
          <w:tcPr>
            <w:tcW w:type="dxa" w:w="5090"/>
            <w:tcBorders>
              <w:top w:val="none"/>
              <w:left w:val="none"/>
              <w:bottom w:val="none"/>
              <w:right w:val="none"/>
            </w:tcBorders>
            <w:tcMar>
              <w:top w:type="dxa" w:w="0"/>
              <w:left w:type="dxa" w:w="0"/>
              <w:bottom w:type="dxa" w:w="0"/>
              <w:right w:type="dxa" w:w="150"/>
            </w:tcMar>
          </w:tcPr>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Stage</w:t>
            </w:r>
            <w:r>
              <w:rPr>
                <w:rFonts w:ascii="Calibri" w:cs="Calibri" w:eastAsia="Calibri" w:hAnsi="Calibri"/>
                <w:color w:val="14181D"/>
                <w:sz w:val="19"/>
                <w:szCs w:val="19"/>
              </w:rPr>
              <w:t xml:space="preserve"> — precursor, emerging, escalating, active or recovering, derived from whether members are observed or forecast and whether the peak is still rising.</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Footprint</w:t>
            </w:r>
            <w:r>
              <w:rPr>
                <w:rFonts w:ascii="Calibri" w:cs="Calibri" w:eastAsia="Calibri" w:hAnsi="Calibri"/>
                <w:color w:val="14181D"/>
                <w:sz w:val="19"/>
                <w:szCs w:val="19"/>
              </w:rPr>
              <w:t xml:space="preserve"> — a hull around the member facilities, drawn on the twin and exported as the CAP alert polygon, so the warning area and the analysis agree by construction.</w:t>
            </w:r>
          </w:p>
        </w:tc>
      </w:tr>
    </w:tbl>
    <w:p>
      <w:pPr>
        <w:spacing w:after="70" w:before="0"/>
      </w:pPr>
      <w:r>
        <w:rPr>
          <w:sz w:val="2"/>
          <w:szCs w:val="2"/>
        </w:rPr>
        <w:t xml:space="preserve"/>
      </w:r>
    </w:p>
    <w:p>
      <w:pPr>
        <w:spacing w:after="25" w:before="50"/>
        <w:jc w:val="center"/>
      </w:pPr>
      <w:r>
        <w:drawing>
          <wp:inline distT="0" distB="0" distL="0" distR="0">
            <wp:extent cx="595312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53125" cy="335280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Feature 4 — Response. Nine actions generated from Nagpur's own dependency graph, each showing crew cost, mechanism, side effect and what it achieves alone. The planner's recommendation is pre-selected.</w:t>
      </w:r>
    </w:p>
    <w:p>
      <w:pPr>
        <w:spacing w:after="90" w:before="0" w:line="250"/>
      </w:pPr>
      <w:r>
        <w:rPr>
          <w:rFonts w:ascii="Calibri" w:cs="Calibri" w:eastAsia="Calibri" w:hAnsi="Calibri"/>
          <w:color w:val="14181D"/>
          <w:sz w:val="19"/>
          <w:szCs w:val="19"/>
        </w:rPr>
        <w:t xml:space="preserve">The planner searches greedily by benefit per crew: it adds the action with the largest marginal reduction in expected critical facility-hours until the budget is spent or nothing is worth another crew. Every candidate is </w:t>
      </w:r>
      <w:r>
        <w:rPr>
          <w:rFonts w:ascii="Calibri" w:cs="Calibri" w:eastAsia="Calibri" w:hAnsi="Calibri"/>
          <w:b/>
          <w:bCs/>
          <w:color w:val="14181D"/>
          <w:sz w:val="19"/>
          <w:szCs w:val="19"/>
        </w:rPr>
        <w:t xml:space="preserve">re-simulated</w:t>
      </w:r>
      <w:r>
        <w:rPr>
          <w:rFonts w:ascii="Calibri" w:cs="Calibri" w:eastAsia="Calibri" w:hAnsi="Calibri"/>
          <w:color w:val="14181D"/>
          <w:sz w:val="19"/>
          <w:szCs w:val="19"/>
        </w:rPr>
        <w:t xml:space="preserve"> from the decision time on the ensemble members that best match the evidence so far — so an action is judged on what it does to this event, not on a stored effectiveness rating. Side effects are found the same way: any facility whose expected peak rises by more than three points is reported, which is how an evacuation that loads a neighbouring corridor becomes visible before it is ordered.</w:t>
      </w:r>
    </w:p>
    <w:p>
      <w:pPr>
        <w:spacing w:after="25" w:before="50"/>
        <w:jc w:val="center"/>
      </w:pPr>
      <w:r>
        <w:drawing>
          <wp:inline distT="0" distB="0" distL="0" distR="0">
            <wp:extent cx="595312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53125" cy="335280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Feature 4 continued — the ledger and the decision deadline for the chlorine release. Benefit collapses from 55% to nothing within six hours: the crews must move before the meeting ends.</w:t>
      </w:r>
    </w:p>
    <w:p>
      <w:pPr>
        <w:spacing w:after="25" w:before="50"/>
        <w:jc w:val="center"/>
      </w:pPr>
      <w:r>
        <w:drawing>
          <wp:inline distT="0" distB="0" distL="0" distR="0">
            <wp:extent cx="595312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53125" cy="335280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Feature 5 — Warnings. One alert per crisis, graded Extreme / Immediate / Likely under CAP 1.2, with the public text as a handset receives it. English fits one SMS segment; Hindi needs three, because Devanagari forces UCS-2 encoding at 70 characters.</w:t>
      </w:r>
    </w:p>
    <w:p>
      <w:pPr>
        <w:spacing w:after="90" w:before="0" w:line="250"/>
      </w:pPr>
      <w:r>
        <w:rPr>
          <w:rFonts w:ascii="Calibri" w:cs="Calibri" w:eastAsia="Calibri" w:hAnsi="Calibri"/>
          <w:color w:val="14181D"/>
          <w:sz w:val="19"/>
          <w:szCs w:val="19"/>
        </w:rPr>
        <w:t xml:space="preserve">The alert grading is not editorial. Severity, urgency and certainty are derived from the registry: severity from the number of critical members and the residents inside the footprint, urgency from how soon the next facility is forecast to cross, certainty from whether the crisis is observed or still forecast. The polygon is the crisis footprint itself, so the area warned and the area analysed are the same object rather than two drawings that can drift apart.</w:t>
      </w:r>
    </w:p>
    <w:p>
      <w:pPr>
        <w:spacing w:after="25" w:before="50"/>
        <w:jc w:val="center"/>
      </w:pPr>
      <w:r>
        <w:drawing>
          <wp:inline distT="0" distB="0" distL="0" distR="0">
            <wp:extent cx="595312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53125" cy="335280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Feature 6 — My area. The same engine, written for a resident: a verdict with a time, 36 hours per system, advice in English, हिन्दी or मराठी, the nearest hospital now and at +6 and +12 h, and the roads expected to close.</w:t>
      </w:r>
    </w:p>
    <w:p>
      <w:pPr>
        <w:spacing w:after="90" w:before="0" w:line="250"/>
      </w:pPr>
      <w:r>
        <w:rPr>
          <w:rFonts w:ascii="Calibri" w:cs="Calibri" w:eastAsia="Calibri" w:hAnsi="Calibri"/>
          <w:color w:val="14181D"/>
          <w:sz w:val="19"/>
          <w:szCs w:val="19"/>
        </w:rPr>
        <w:t xml:space="preserve">The resident view deliberately drops everything an operator needs and a resident does not. There is no risk index, no Cascade-R and no facility ID unless asked for. What remains is a sentence with a time in it, a strip showing when each system near you gets worse, the advice for that hazard family in a language you read, and two phone numbers. It runs on exactly the same engine state as the operations pages — the same forecast, issued at the same moment, in different words.</w:t>
      </w:r>
    </w:p>
    <w:p>
      <w:pPr>
        <w:spacing w:after="6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Interface and interaction design</w:t>
      </w:r>
    </w:p>
    <w:p>
      <w:pPr>
        <w:spacing w:after="90" w:before="0" w:line="250"/>
      </w:pPr>
      <w:r>
        <w:rPr>
          <w:rFonts w:ascii="Calibri" w:cs="Calibri" w:eastAsia="Calibri" w:hAnsi="Calibri"/>
          <w:color w:val="14181D"/>
          <w:sz w:val="19"/>
          <w:szCs w:val="19"/>
        </w:rPr>
        <w:t xml:space="preserve">The prototype is built as a control-room instrument, not a consumer dashboard: a single dark surface, colour reserved exclusively for risk, measurements in a monospaced face, and no decoration that is not information.</w:t>
      </w:r>
    </w:p>
    <w:tbl>
      <w:tblPr>
        <w:tblW w:type="dxa" w:w="10180"/>
        <w:tblBorders>
          <w:top w:val="none"/>
          <w:left w:val="none"/>
          <w:bottom w:val="none"/>
          <w:right w:val="none"/>
          <w:insideH w:val="single" w:color="auto" w:sz="4"/>
          <w:insideV w:val="single" w:color="auto" w:sz="4"/>
        </w:tblBorders>
      </w:tblPr>
      <w:tblGrid>
        <w:gridCol w:w="5090"/>
        <w:gridCol w:w="5090"/>
      </w:tblGrid>
      <w:tr>
        <w:tc>
          <w:tcPr>
            <w:tcW w:type="dxa" w:w="5090"/>
            <w:tcBorders>
              <w:top w:val="none"/>
              <w:left w:val="none"/>
              <w:bottom w:val="none"/>
              <w:right w:val="none"/>
            </w:tcBorders>
            <w:tcMar>
              <w:top w:type="dxa" w:w="0"/>
              <w:left w:type="dxa" w:w="0"/>
              <w:bottom w:type="dxa" w:w="0"/>
              <w:right w:type="dxa" w:w="150"/>
            </w:tcMar>
          </w:tcPr>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Permanent left sidebar</w:t>
            </w:r>
            <w:r>
              <w:rPr>
                <w:rFonts w:ascii="Calibri" w:cs="Calibri" w:eastAsia="Calibri" w:hAnsi="Calibri"/>
                <w:color w:val="14181D"/>
                <w:sz w:val="19"/>
                <w:szCs w:val="19"/>
              </w:rPr>
              <w:t xml:space="preserve"> with live chips — the crisis count and city state update as the clock moves, so navigation itself carries state.</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One shared context in the link</w:t>
            </w:r>
            <w:r>
              <w:rPr>
                <w:rFonts w:ascii="Calibri" w:cs="Calibri" w:eastAsia="Calibri" w:hAnsi="Calibri"/>
                <w:color w:val="14181D"/>
                <w:sz w:val="19"/>
                <w:szCs w:val="19"/>
              </w:rPr>
              <w:t xml:space="preserve"> — city, scenario, time, selection and district all travel in the URL. Any view can be bookmarked or sent to a colleague exactly as it was.</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Honesty in the chrome</w:t>
            </w:r>
            <w:r>
              <w:rPr>
                <w:rFonts w:ascii="Calibri" w:cs="Calibri" w:eastAsia="Calibri" w:hAnsi="Calibri"/>
                <w:color w:val="14181D"/>
                <w:sz w:val="19"/>
                <w:szCs w:val="19"/>
              </w:rPr>
              <w:t xml:space="preserve"> — a Simulation badge, Now/Replay instead of "live", scenarios tagged </w:t>
            </w:r>
            <w:r>
              <w:rPr>
                <w:rFonts w:ascii="Calibri" w:cs="Calibri" w:eastAsia="Calibri" w:hAnsi="Calibri"/>
                <w:i/>
                <w:iCs/>
                <w:color w:val="14181D"/>
                <w:sz w:val="19"/>
                <w:szCs w:val="19"/>
              </w:rPr>
              <w:t xml:space="preserve">modeled</w:t>
            </w:r>
            <w:r>
              <w:rPr>
                <w:rFonts w:ascii="Calibri" w:cs="Calibri" w:eastAsia="Calibri" w:hAnsi="Calibri"/>
                <w:color w:val="14181D"/>
                <w:sz w:val="19"/>
                <w:szCs w:val="19"/>
              </w:rPr>
              <w:t xml:space="preserve"> or </w:t>
            </w:r>
            <w:r>
              <w:rPr>
                <w:rFonts w:ascii="Calibri" w:cs="Calibri" w:eastAsia="Calibri" w:hAnsi="Calibri"/>
                <w:i/>
                <w:iCs/>
                <w:color w:val="14181D"/>
                <w:sz w:val="19"/>
                <w:szCs w:val="19"/>
              </w:rPr>
              <w:t xml:space="preserve">reconstruction</w:t>
            </w:r>
            <w:r>
              <w:rPr>
                <w:rFonts w:ascii="Calibri" w:cs="Calibri" w:eastAsia="Calibri" w:hAnsi="Calibri"/>
                <w:color w:val="14181D"/>
                <w:sz w:val="19"/>
                <w:szCs w:val="19"/>
              </w:rPr>
              <w:t xml:space="preserve">, derived readings marked illustrative.</w:t>
            </w:r>
          </w:p>
        </w:tc>
        <w:tc>
          <w:tcPr>
            <w:tcW w:type="dxa" w:w="5090"/>
            <w:tcBorders>
              <w:top w:val="none"/>
              <w:left w:val="none"/>
              <w:bottom w:val="none"/>
              <w:right w:val="none"/>
            </w:tcBorders>
            <w:tcMar>
              <w:top w:type="dxa" w:w="0"/>
              <w:left w:type="dxa" w:w="0"/>
              <w:bottom w:type="dxa" w:w="0"/>
              <w:right w:type="dxa" w:w="150"/>
            </w:tcMar>
          </w:tcPr>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Scrub-to-understand</w:t>
            </w:r>
            <w:r>
              <w:rPr>
                <w:rFonts w:ascii="Calibri" w:cs="Calibri" w:eastAsia="Calibri" w:hAnsi="Calibri"/>
                <w:color w:val="14181D"/>
                <w:sz w:val="19"/>
                <w:szCs w:val="19"/>
              </w:rPr>
              <w:t xml:space="preserve"> — dragging the 72-hour timeline moves the forecast, the sun on the 3D city, the crisis registry and the sidebar together.</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Responsive to phone width</w:t>
            </w:r>
            <w:r>
              <w:rPr>
                <w:rFonts w:ascii="Calibri" w:cs="Calibri" w:eastAsia="Calibri" w:hAnsi="Calibri"/>
                <w:color w:val="14181D"/>
                <w:sz w:val="19"/>
                <w:szCs w:val="19"/>
              </w:rPr>
              <w:t xml:space="preserve"> — the sidebar becomes an overlay; every page reflows without horizontal scrolling.</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Accessible by construction</w:t>
            </w:r>
            <w:r>
              <w:rPr>
                <w:rFonts w:ascii="Calibri" w:cs="Calibri" w:eastAsia="Calibri" w:hAnsi="Calibri"/>
                <w:color w:val="14181D"/>
                <w:sz w:val="19"/>
                <w:szCs w:val="19"/>
              </w:rPr>
              <w:t xml:space="preserve"> — real buttons and links, visible focus rings, ARIA labels on canvases, reduced-motion respected.</w:t>
            </w:r>
          </w:p>
        </w:tc>
      </w:tr>
    </w:tbl>
    <w:p>
      <w:pPr>
        <w:spacing w:after="60" w:before="0"/>
      </w:pPr>
      <w:r>
        <w:rPr>
          <w:sz w:val="2"/>
          <w:szCs w:val="2"/>
        </w:rPr>
        <w:t xml:space="preserve"/>
      </w:r>
    </w:p>
    <w:tbl>
      <w:tblPr>
        <w:tblW w:type="dxa" w:w="10180"/>
        <w:tblBorders>
          <w:top w:val="none"/>
          <w:left w:val="none"/>
          <w:bottom w:val="none"/>
          <w:right w:val="none"/>
          <w:insideH w:val="single" w:color="auto" w:sz="4"/>
          <w:insideV w:val="single" w:color="auto" w:sz="4"/>
        </w:tblBorders>
      </w:tblPr>
      <w:tblGrid>
        <w:gridCol w:w="5090"/>
        <w:gridCol w:w="5090"/>
      </w:tblGrid>
      <w:tr>
        <w:tc>
          <w:tcPr>
            <w:tcW w:type="dxa" w:w="5090"/>
            <w:tcBorders>
              <w:top w:val="none"/>
              <w:left w:val="none"/>
              <w:bottom w:val="none"/>
              <w:right w:val="none"/>
            </w:tcBorders>
            <w:tcMar>
              <w:top w:type="dxa" w:w="0"/>
              <w:left w:type="dxa" w:w="0"/>
              <w:bottom w:type="dxa" w:w="0"/>
              <w:right w:type="dxa" w:w="150"/>
            </w:tcMar>
          </w:tcPr>
          <w:p>
            <w:pPr>
              <w:spacing w:after="25" w:before="50"/>
              <w:jc w:val="center"/>
            </w:pPr>
            <w:r>
              <w:drawing>
                <wp:inline distT="0" distB="0" distL="0" distR="0">
                  <wp:extent cx="2657475"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57475" cy="184785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Facility detail: an authored 3D model replaces the OSM footprint at the selected site, with a risk-coloured ground ring.</w:t>
            </w:r>
          </w:p>
        </w:tc>
        <w:tc>
          <w:tcPr>
            <w:tcW w:type="dxa" w:w="5090"/>
            <w:tcBorders>
              <w:top w:val="none"/>
              <w:left w:val="none"/>
              <w:bottom w:val="none"/>
              <w:right w:val="none"/>
            </w:tcBorders>
            <w:tcMar>
              <w:top w:type="dxa" w:w="0"/>
              <w:left w:type="dxa" w:w="0"/>
              <w:bottom w:type="dxa" w:w="0"/>
              <w:right w:type="dxa" w:w="150"/>
            </w:tcMar>
          </w:tcPr>
          <w:p>
            <w:pPr>
              <w:spacing w:after="25" w:before="50"/>
              <w:jc w:val="center"/>
            </w:pPr>
            <w:r>
              <w:drawing>
                <wp:inline distT="0" distB="0" distL="0" distR="0">
                  <wp:extent cx="2657475"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57475" cy="1495425"/>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The sidebar collapsed to an icon rail; chips become coloured dots. The choice persists across reloads.</w:t>
            </w:r>
          </w:p>
        </w:tc>
      </w:tr>
    </w:tbl>
    <w:p>
      <w:pPr>
        <w:pStyle w:val="Heading2"/>
        <w:spacing w:after="65" w:before="130"/>
      </w:pPr>
      <w:r>
        <w:rPr>
          <w:rFonts w:ascii="Calibri" w:cs="Calibri" w:eastAsia="Calibri" w:hAnsi="Calibri"/>
          <w:b/>
          <w:bCs/>
          <w:color w:val="14181D"/>
          <w:sz w:val="21"/>
          <w:szCs w:val="21"/>
        </w:rPr>
        <w:t xml:space="preserve">Why the city is rendered in 3D at all</w:t>
      </w:r>
    </w:p>
    <w:p>
      <w:pPr>
        <w:spacing w:after="90" w:before="0" w:line="250"/>
      </w:pPr>
      <w:r>
        <w:rPr>
          <w:rFonts w:ascii="Calibri" w:cs="Calibri" w:eastAsia="Calibri" w:hAnsi="Calibri"/>
          <w:color w:val="14181D"/>
          <w:sz w:val="19"/>
          <w:szCs w:val="19"/>
        </w:rPr>
        <w:t xml:space="preserve">The 3D view is not decoration. An operator reasons about a flood in terms of </w:t>
      </w:r>
      <w:r>
        <w:rPr>
          <w:rFonts w:ascii="Calibri" w:cs="Calibri" w:eastAsia="Calibri" w:hAnsi="Calibri"/>
          <w:i/>
          <w:iCs/>
          <w:color w:val="14181D"/>
          <w:sz w:val="19"/>
          <w:szCs w:val="19"/>
        </w:rPr>
        <w:t xml:space="preserve">which underpass, which side of the river, which approach to the hospital</w:t>
      </w:r>
      <w:r>
        <w:rPr>
          <w:rFonts w:ascii="Calibri" w:cs="Calibri" w:eastAsia="Calibri" w:hAnsi="Calibri"/>
          <w:color w:val="14181D"/>
          <w:sz w:val="19"/>
          <w:szCs w:val="19"/>
        </w:rPr>
        <w:t xml:space="preserve"> — and that reasoning needs the city to look like the city. The prototype renders every OpenStreetMap building with a procedural facade, a real roof form and a sun shadow computed from the scenario clock, so the scene at 01:00 looks like 01:00. Scrubbing the timeline moves the sun with the forecast.</w:t>
      </w:r>
    </w:p>
    <w:tbl>
      <w:tblPr>
        <w:tblW w:type="dxa" w:w="10180"/>
        <w:tblBorders>
          <w:top w:val="none"/>
          <w:left w:val="none"/>
          <w:bottom w:val="none"/>
          <w:right w:val="none"/>
          <w:insideH w:val="single" w:color="auto" w:sz="4"/>
          <w:insideV w:val="single" w:color="auto" w:sz="4"/>
        </w:tblBorders>
      </w:tblPr>
      <w:tblGrid>
        <w:gridCol w:w="5090"/>
        <w:gridCol w:w="5090"/>
      </w:tblGrid>
      <w:tr>
        <w:tc>
          <w:tcPr>
            <w:tcW w:type="dxa" w:w="5090"/>
            <w:tcBorders>
              <w:top w:val="none"/>
              <w:left w:val="none"/>
              <w:bottom w:val="none"/>
              <w:right w:val="none"/>
            </w:tcBorders>
            <w:tcMar>
              <w:top w:type="dxa" w:w="0"/>
              <w:left w:type="dxa" w:w="0"/>
              <w:bottom w:type="dxa" w:w="0"/>
              <w:right w:type="dxa" w:w="150"/>
            </w:tcMar>
          </w:tcPr>
          <w:p>
            <w:pPr>
              <w:spacing w:after="25" w:before="50"/>
              <w:jc w:val="center"/>
            </w:pPr>
            <w:r>
              <w:drawing>
                <wp:inline distT="0" distB="0" distL="0" distR="0">
                  <wp:extent cx="256222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62225" cy="1438275"/>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Midday: buildings, shadows and the facility model in daylight.</w:t>
            </w:r>
          </w:p>
        </w:tc>
        <w:tc>
          <w:tcPr>
            <w:tcW w:type="dxa" w:w="5090"/>
            <w:tcBorders>
              <w:top w:val="none"/>
              <w:left w:val="none"/>
              <w:bottom w:val="none"/>
              <w:right w:val="none"/>
            </w:tcBorders>
            <w:tcMar>
              <w:top w:type="dxa" w:w="0"/>
              <w:left w:type="dxa" w:w="0"/>
              <w:bottom w:type="dxa" w:w="0"/>
              <w:right w:type="dxa" w:w="150"/>
            </w:tcMar>
          </w:tcPr>
          <w:p>
            <w:pPr>
              <w:spacing w:after="25" w:before="50"/>
              <w:jc w:val="center"/>
            </w:pPr>
            <w:r>
              <w:drawing>
                <wp:inline distT="0" distB="0" distL="0" distR="0">
                  <wp:extent cx="256222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562225" cy="1438275"/>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The same view at night — lit windows, street lighting, the sun below the horizon.</w:t>
            </w:r>
          </w:p>
        </w:tc>
      </w:tr>
    </w:tbl>
    <w:p>
      <w:pPr>
        <w:spacing w:after="90" w:before="0" w:line="250"/>
      </w:pPr>
      <w:r>
        <w:rPr>
          <w:rFonts w:ascii="Calibri" w:cs="Calibri" w:eastAsia="Calibri" w:hAnsi="Calibri"/>
          <w:color w:val="14181D"/>
          <w:sz w:val="19"/>
          <w:szCs w:val="19"/>
        </w:rPr>
        <w:t xml:space="preserve">Each monitored facility carries a marker coloured by its state, and the one under inspection is replaced by a detailed model at real scale. Crisis footprints are drawn on the ground as dashed hulls, and the learned dependency links animate as flows when they are carrying stress — so the cascade is visible as movement, not inferred from a table.</w:t>
      </w:r>
    </w:p>
    <w:p>
      <w:pPr>
        <w:spacing w:after="80" w:before="0"/>
      </w:pPr>
      <w:r>
        <w:rPr>
          <w:sz w:val="2"/>
          <w:szCs w:val="2"/>
        </w:rPr>
        <w:t xml:space="preserve"/>
      </w:r>
    </w:p>
    <w:p>
      <w:pPr>
        <w:spacing w:after="25" w:before="50"/>
        <w:jc w:val="center"/>
      </w:pPr>
      <w:r>
        <w:drawing>
          <wp:inline distT="0" distB="0" distL="0" distR="0">
            <wp:extent cx="595312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53125" cy="335280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Feature 2 — Crises. The registry card for the Nagpur flood: stage, systems, districts, residents in the footprint and the next facility forecast to go critical. Below it, the registry as it was issued each hour — showing which crises were already known at T+37 and which were still invisible.</w:t>
      </w:r>
    </w:p>
    <w:p>
      <w:pPr>
        <w:spacing w:after="60" w:before="0"/>
      </w:pPr>
      <w:r>
        <w:rPr>
          <w:sz w:val="2"/>
          <w:szCs w:val="2"/>
        </w:rPr>
        <w:t xml:space="preserve"/>
      </w:r>
    </w:p>
    <w:p>
      <w:pPr>
        <w:spacing w:after="90" w:before="0" w:line="250"/>
      </w:pPr>
      <w:r>
        <w:rPr>
          <w:rFonts w:ascii="Calibri" w:cs="Calibri" w:eastAsia="Calibri" w:hAnsi="Calibri"/>
          <w:color w:val="14181D"/>
          <w:sz w:val="19"/>
          <w:szCs w:val="19"/>
        </w:rPr>
        <w:t xml:space="preserve">The registry also records </w:t>
      </w:r>
      <w:r>
        <w:rPr>
          <w:rFonts w:ascii="Calibri" w:cs="Calibri" w:eastAsia="Calibri" w:hAnsi="Calibri"/>
          <w:b/>
          <w:bCs/>
          <w:color w:val="14181D"/>
          <w:sz w:val="19"/>
          <w:szCs w:val="19"/>
        </w:rPr>
        <w:t xml:space="preserve">what was known when</w:t>
      </w:r>
      <w:r>
        <w:rPr>
          <w:rFonts w:ascii="Calibri" w:cs="Calibri" w:eastAsia="Calibri" w:hAnsi="Calibri"/>
          <w:color w:val="14181D"/>
          <w:sz w:val="19"/>
          <w:szCs w:val="19"/>
        </w:rPr>
        <w:t xml:space="preserve">. The strip above shows the registry as issued each hour: at T+37 only one crisis is visible, and the four that appear later are genuinely not knowable yet. That record is what makes an after-action review possible — it separates "we did not see it" from "we saw it and did not act".</w:t>
      </w:r>
    </w:p>
    <w:p>
      <w:pPr>
        <w:spacing w:after="70" w:before="0"/>
      </w:pPr>
      <w:r>
        <w:rPr>
          <w:sz w:val="2"/>
          <w:szCs w:val="2"/>
        </w:rPr>
        <w:t xml:space="preserve"/>
      </w:r>
    </w:p>
    <w:p>
      <w:pPr>
        <w:pStyle w:val="Heading1"/>
        <w:pBdr>
          <w:bottom w:val="single" w:color="1F4E79" w:sz="10" w:space="3"/>
        </w:pBdr>
        <w:spacing w:after="110" w:before="170"/>
      </w:pPr>
      <w:r>
        <w:rPr>
          <w:rFonts w:ascii="Calibri" w:cs="Calibri" w:eastAsia="Calibri" w:hAnsi="Calibri"/>
          <w:b/>
          <w:bCs/>
          <w:color w:val="C9D2DC"/>
          <w:sz w:val="26"/>
          <w:szCs w:val="26"/>
        </w:rPr>
        <w:t xml:space="preserve">07  </w:t>
      </w:r>
      <w:r>
        <w:rPr>
          <w:rFonts w:ascii="Calibri" w:cs="Calibri" w:eastAsia="Calibri" w:hAnsi="Calibri"/>
          <w:b/>
          <w:bCs/>
          <w:color w:val="1F4E79"/>
          <w:sz w:val="26"/>
          <w:szCs w:val="26"/>
        </w:rPr>
        <w:t xml:space="preserve">Data sources and inputs</w:t>
      </w:r>
    </w:p>
    <w:p>
      <w:pPr>
        <w:spacing w:after="25" w:before="50"/>
        <w:jc w:val="center"/>
      </w:pPr>
      <w:r>
        <w:drawing>
          <wp:inline distT="0" distB="0" distL="0" distR="0">
            <wp:extent cx="5953125"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53125" cy="163830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Figure 5 — What is real today, what is modeled, and what a live deployment would connect.</w:t>
      </w:r>
    </w:p>
    <w:p>
      <w:pPr>
        <w:pStyle w:val="Heading2"/>
        <w:spacing w:after="65" w:before="130"/>
      </w:pPr>
      <w:r>
        <w:rPr>
          <w:rFonts w:ascii="Calibri" w:cs="Calibri" w:eastAsia="Calibri" w:hAnsi="Calibri"/>
          <w:b/>
          <w:bCs/>
          <w:color w:val="14181D"/>
          <w:sz w:val="21"/>
          <w:szCs w:val="21"/>
        </w:rPr>
        <w:t xml:space="preserve">The connector contract</w:t>
      </w:r>
    </w:p>
    <w:p>
      <w:pPr>
        <w:spacing w:after="90" w:before="0" w:line="250"/>
      </w:pPr>
      <w:r>
        <w:rPr>
          <w:rFonts w:ascii="Calibri" w:cs="Calibri" w:eastAsia="Calibri" w:hAnsi="Calibri"/>
          <w:color w:val="14181D"/>
          <w:sz w:val="19"/>
          <w:szCs w:val="19"/>
        </w:rPr>
        <w:t xml:space="preserve">The engine consumes </w:t>
      </w:r>
      <w:r>
        <w:rPr>
          <w:rFonts w:ascii="Calibri" w:cs="Calibri" w:eastAsia="Calibri" w:hAnsi="Calibri"/>
          <w:b/>
          <w:bCs/>
          <w:color w:val="14181D"/>
          <w:sz w:val="19"/>
          <w:szCs w:val="19"/>
        </w:rPr>
        <w:t xml:space="preserve">one normalised stress value per facility per half hour</w:t>
      </w:r>
      <w:r>
        <w:rPr>
          <w:rFonts w:ascii="Calibri" w:cs="Calibri" w:eastAsia="Calibri" w:hAnsi="Calibri"/>
          <w:color w:val="14181D"/>
          <w:sz w:val="19"/>
          <w:szCs w:val="19"/>
        </w:rPr>
        <w:t xml:space="preserve">, plus an uncertainty. Everything else — units, vendor protocol, polling rate — is the connector's problem. This is why a new city is a specification file rather than a rewrite.</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731"/>
        <w:gridCol w:w="3359"/>
        <w:gridCol w:w="2545"/>
        <w:gridCol w:w="2545"/>
      </w:tblGrid>
      <w:tr>
        <w:trPr>
          <w:cantSplit/>
          <w:tblHeader/>
        </w:trPr>
        <w:tc>
          <w:tcPr>
            <w:tcW w:type="dxa" w:w="1731"/>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Input</w:t>
            </w:r>
          </w:p>
        </w:tc>
        <w:tc>
          <w:tcPr>
            <w:tcW w:type="dxa" w:w="3359"/>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Source in a live deployment</w:t>
            </w:r>
          </w:p>
        </w:tc>
        <w:tc>
          <w:tcPr>
            <w:tcW w:type="dxa" w:w="2545"/>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Maps to</w:t>
            </w:r>
          </w:p>
        </w:tc>
        <w:tc>
          <w:tcPr>
            <w:tcW w:type="dxa" w:w="2545"/>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Availability in Indian cities</w:t>
            </w:r>
          </w:p>
        </w:tc>
      </w:tr>
      <w:tr>
        <w:trPr>
          <w:cantSplit/>
        </w:trPr>
        <w:tc>
          <w:tcPr>
            <w:tcW w:type="dxa" w:w="173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Rainfall</w:t>
            </w:r>
          </w:p>
        </w:tc>
        <w:tc>
          <w:tcPr>
            <w:tcW w:type="dxa" w:w="335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Tipping-bucket network, IMD radar/AWS, GFS ensemble</w:t>
            </w:r>
          </w:p>
        </w:tc>
        <w:tc>
          <w:tcPr>
            <w:tcW w:type="dxa" w:w="254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Hazard forcing for all systems</w:t>
            </w:r>
          </w:p>
        </w:tc>
        <w:tc>
          <w:tcPr>
            <w:tcW w:type="dxa" w:w="254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Good — IMD AWS and public APIs exist</w:t>
            </w:r>
          </w:p>
        </w:tc>
      </w:tr>
      <w:tr>
        <w:trPr>
          <w:cantSplit/>
        </w:trPr>
        <w:tc>
          <w:tcPr>
            <w:tcW w:type="dxa" w:w="1731"/>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River / drain level</w:t>
            </w:r>
          </w:p>
        </w:tc>
        <w:tc>
          <w:tcPr>
            <w:tcW w:type="dxa" w:w="335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Ultrasonic or radar gauges at crossings</w:t>
            </w:r>
          </w:p>
        </w:tc>
        <w:tc>
          <w:tcPr>
            <w:tcW w:type="dxa" w:w="254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Drainage facility stress</w:t>
            </w:r>
          </w:p>
        </w:tc>
        <w:tc>
          <w:tcPr>
            <w:tcW w:type="dxa" w:w="254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Partial — growing under smart-city programmes</w:t>
            </w:r>
          </w:p>
        </w:tc>
      </w:tr>
      <w:tr>
        <w:trPr>
          <w:cantSplit/>
        </w:trPr>
        <w:tc>
          <w:tcPr>
            <w:tcW w:type="dxa" w:w="173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Substation load</w:t>
            </w:r>
          </w:p>
        </w:tc>
        <w:tc>
          <w:tcPr>
            <w:tcW w:type="dxa" w:w="335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Distribution SCADA / ADMS</w:t>
            </w:r>
          </w:p>
        </w:tc>
        <w:tc>
          <w:tcPr>
            <w:tcW w:type="dxa" w:w="254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Power facility stress</w:t>
            </w:r>
          </w:p>
        </w:tc>
        <w:tc>
          <w:tcPr>
            <w:tcW w:type="dxa" w:w="254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Good, but commercially gated</w:t>
            </w:r>
          </w:p>
        </w:tc>
      </w:tr>
      <w:tr>
        <w:trPr>
          <w:cantSplit/>
        </w:trPr>
        <w:tc>
          <w:tcPr>
            <w:tcW w:type="dxa" w:w="1731"/>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Traffic</w:t>
            </w:r>
          </w:p>
        </w:tc>
        <w:tc>
          <w:tcPr>
            <w:tcW w:type="dxa" w:w="335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CCTV vehicle counts, ANPR, floating-car speed</w:t>
            </w:r>
          </w:p>
        </w:tc>
        <w:tc>
          <w:tcPr>
            <w:tcW w:type="dxa" w:w="254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Traffic facility stress</w:t>
            </w:r>
          </w:p>
        </w:tc>
        <w:tc>
          <w:tcPr>
            <w:tcW w:type="dxa" w:w="254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Good — ICCC camera estates are widespread</w:t>
            </w:r>
          </w:p>
        </w:tc>
      </w:tr>
      <w:tr>
        <w:trPr>
          <w:cantSplit/>
        </w:trPr>
        <w:tc>
          <w:tcPr>
            <w:tcW w:type="dxa" w:w="173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Hospital census</w:t>
            </w:r>
          </w:p>
        </w:tc>
        <w:tc>
          <w:tcPr>
            <w:tcW w:type="dxa" w:w="335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HMIS: occupancy, ED boarding, diversion status</w:t>
            </w:r>
          </w:p>
        </w:tc>
        <w:tc>
          <w:tcPr>
            <w:tcW w:type="dxa" w:w="254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Hospital facility stress</w:t>
            </w:r>
          </w:p>
        </w:tc>
        <w:tc>
          <w:tcPr>
            <w:tcW w:type="dxa" w:w="254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Weak — the hardest feed to obtain</w:t>
            </w:r>
          </w:p>
        </w:tc>
      </w:tr>
      <w:tr>
        <w:trPr>
          <w:cantSplit/>
        </w:trPr>
        <w:tc>
          <w:tcPr>
            <w:tcW w:type="dxa" w:w="1731"/>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EMS load</w:t>
            </w:r>
          </w:p>
        </w:tc>
        <w:tc>
          <w:tcPr>
            <w:tcW w:type="dxa" w:w="335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CAD: call volume, unit status, response time</w:t>
            </w:r>
          </w:p>
        </w:tc>
        <w:tc>
          <w:tcPr>
            <w:tcW w:type="dxa" w:w="254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EMS facility stress</w:t>
            </w:r>
          </w:p>
        </w:tc>
        <w:tc>
          <w:tcPr>
            <w:tcW w:type="dxa" w:w="254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Moderate — 108 services are centralised</w:t>
            </w:r>
          </w:p>
        </w:tc>
      </w:tr>
      <w:tr>
        <w:trPr>
          <w:cantSplit/>
        </w:trPr>
        <w:tc>
          <w:tcPr>
            <w:tcW w:type="dxa" w:w="173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Telecom</w:t>
            </w:r>
          </w:p>
        </w:tc>
        <w:tc>
          <w:tcPr>
            <w:tcW w:type="dxa" w:w="335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Site power, battery state, call-completion rate</w:t>
            </w:r>
          </w:p>
        </w:tc>
        <w:tc>
          <w:tcPr>
            <w:tcW w:type="dxa" w:w="254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Telecom facility stress</w:t>
            </w:r>
          </w:p>
        </w:tc>
        <w:tc>
          <w:tcPr>
            <w:tcW w:type="dxa" w:w="254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Weak — operator-held, needs agreement</w:t>
            </w:r>
          </w:p>
        </w:tc>
      </w:tr>
      <w:tr>
        <w:trPr>
          <w:cantSplit/>
        </w:trPr>
        <w:tc>
          <w:tcPr>
            <w:tcW w:type="dxa" w:w="1731"/>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Citizen reports</w:t>
            </w:r>
          </w:p>
        </w:tc>
        <w:tc>
          <w:tcPr>
            <w:tcW w:type="dxa" w:w="335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Helpline, municipal app, social media</w:t>
            </w:r>
          </w:p>
        </w:tc>
        <w:tc>
          <w:tcPr>
            <w:tcW w:type="dxa" w:w="254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Corroboration, not state</w:t>
            </w:r>
          </w:p>
        </w:tc>
        <w:tc>
          <w:tcPr>
            <w:tcW w:type="dxa" w:w="254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Good — already collected, rarely used analytically</w:t>
            </w:r>
          </w:p>
        </w:tc>
      </w:tr>
    </w:tbl>
    <w:p>
      <w:pPr>
        <w:spacing w:after="8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Inputs that are not telemetry</w:t>
      </w:r>
    </w:p>
    <w:p>
      <w:pPr>
        <w:spacing w:after="90" w:before="0" w:line="250"/>
      </w:pPr>
      <w:r>
        <w:rPr>
          <w:rFonts w:ascii="Calibri" w:cs="Calibri" w:eastAsia="Calibri" w:hAnsi="Calibri"/>
          <w:color w:val="14181D"/>
          <w:sz w:val="19"/>
          <w:szCs w:val="19"/>
        </w:rPr>
        <w:t xml:space="preserve">Three kinds of input matter that no sensor produces, and all three are survey or record data a city already holds.</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444"/>
        <w:gridCol w:w="3868"/>
        <w:gridCol w:w="3868"/>
      </w:tblGrid>
      <w:tr>
        <w:trPr>
          <w:cantSplit/>
          <w:tblHeader/>
        </w:trPr>
        <w:tc>
          <w:tcPr>
            <w:tcW w:type="dxa" w:w="2444"/>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Input</w:t>
            </w:r>
          </w:p>
        </w:tc>
        <w:tc>
          <w:tcPr>
            <w:tcW w:type="dxa" w:w="3868"/>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Where it comes from</w:t>
            </w:r>
          </w:p>
        </w:tc>
        <w:tc>
          <w:tcPr>
            <w:tcW w:type="dxa" w:w="3868"/>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What it determines</w:t>
            </w:r>
          </w:p>
        </w:tc>
      </w:tr>
      <w:tr>
        <w:trPr>
          <w:cantSplit/>
        </w:trPr>
        <w:tc>
          <w:tcPr>
            <w:tcW w:type="dxa" w:w="244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Drainage asset survey</w:t>
            </w:r>
          </w:p>
        </w:tc>
        <w:tc>
          <w:tcPr>
            <w:tcW w:type="dxa" w:w="386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Municipal engineering records: culvert sizes, pump capacities, spillway levels</w:t>
            </w:r>
          </w:p>
        </w:tc>
        <w:tc>
          <w:tcPr>
            <w:tcW w:type="dxa" w:w="386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Facility capacities and thresholds — currently modeled, and the single highest-value correction</w:t>
            </w:r>
          </w:p>
        </w:tc>
      </w:tr>
      <w:tr>
        <w:trPr>
          <w:cantSplit/>
        </w:trPr>
        <w:tc>
          <w:tcPr>
            <w:tcW w:type="dxa" w:w="244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Historic flood marks</w:t>
            </w:r>
          </w:p>
        </w:tc>
        <w:tc>
          <w:tcPr>
            <w:tcW w:type="dxa" w:w="386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Ward records, past incident reports, resident recall surveys</w:t>
            </w:r>
          </w:p>
        </w:tc>
        <w:tc>
          <w:tcPr>
            <w:tcW w:type="dxa" w:w="386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Which crossings fail first, and at what river stage</w:t>
            </w:r>
          </w:p>
        </w:tc>
      </w:tr>
      <w:tr>
        <w:trPr>
          <w:cantSplit/>
        </w:trPr>
        <w:tc>
          <w:tcPr>
            <w:tcW w:type="dxa" w:w="244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Census and ward boundaries</w:t>
            </w:r>
          </w:p>
        </w:tc>
        <w:tc>
          <w:tcPr>
            <w:tcW w:type="dxa" w:w="386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Census of India; municipal ward maps</w:t>
            </w:r>
          </w:p>
        </w:tc>
        <w:tc>
          <w:tcPr>
            <w:tcW w:type="dxa" w:w="386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Residents per cell, replacing the modeled population grid with measured counts</w:t>
            </w:r>
          </w:p>
        </w:tc>
      </w:tr>
      <w:tr>
        <w:trPr>
          <w:cantSplit/>
        </w:trPr>
        <w:tc>
          <w:tcPr>
            <w:tcW w:type="dxa" w:w="244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Response-time records</w:t>
            </w:r>
          </w:p>
        </w:tc>
        <w:tc>
          <w:tcPr>
            <w:tcW w:type="dxa" w:w="386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EMS and fire run logs from past events</w:t>
            </w:r>
          </w:p>
        </w:tc>
        <w:tc>
          <w:tcPr>
            <w:tcW w:type="dxa" w:w="386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Validating the road-to-EMS link lags against what actually happened</w:t>
            </w:r>
          </w:p>
        </w:tc>
      </w:tr>
      <w:tr>
        <w:trPr>
          <w:cantSplit/>
        </w:trPr>
        <w:tc>
          <w:tcPr>
            <w:tcW w:type="dxa" w:w="244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Community reporting</w:t>
            </w:r>
          </w:p>
        </w:tc>
        <w:tc>
          <w:tcPr>
            <w:tcW w:type="dxa" w:w="386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Helpline transcripts, municipal app, ward-level volunteers</w:t>
            </w:r>
          </w:p>
        </w:tc>
        <w:tc>
          <w:tcPr>
            <w:tcW w:type="dxa" w:w="386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Corroboration of forecasts, and ground truth for the verification record</w:t>
            </w:r>
          </w:p>
        </w:tc>
      </w:tr>
    </w:tbl>
    <w:p>
      <w:pPr>
        <w:spacing w:after="70" w:before="0"/>
      </w:pPr>
      <w:r>
        <w:rPr>
          <w:sz w:val="2"/>
          <w:szCs w:val="2"/>
        </w:rPr>
        <w:t xml:space="preserve"/>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0180"/>
      </w:tblGrid>
      <w:tr>
        <w:tc>
          <w:tcPr>
            <w:tcW w:type="dxa" w:w="10180"/>
            <w:tcBorders>
              <w:top w:val="single" w:color="246B4C" w:sz="4"/>
              <w:left w:val="single" w:color="246B4C" w:sz="18"/>
              <w:bottom w:val="single" w:color="246B4C" w:sz="4"/>
              <w:right w:val="single" w:color="246B4C" w:sz="4"/>
            </w:tcBorders>
            <w:shd w:fill="EEF3F8" w:color="auto" w:val="clear"/>
            <w:tcMar>
              <w:top w:type="dxa" w:w="90"/>
              <w:left w:type="dxa" w:w="130"/>
              <w:bottom w:type="dxa" w:w="90"/>
              <w:right w:type="dxa" w:w="130"/>
            </w:tcMar>
          </w:tcPr>
          <w:p>
            <w:pPr>
              <w:spacing w:after="45"/>
            </w:pPr>
            <w:r>
              <w:rPr>
                <w:rFonts w:ascii="Calibri" w:cs="Calibri" w:eastAsia="Calibri" w:hAnsi="Calibri"/>
                <w:b/>
                <w:bCs/>
                <w:color w:val="246B4C"/>
                <w:sz w:val="19"/>
                <w:szCs w:val="19"/>
              </w:rPr>
              <w:t xml:space="preserve">Deliberate design consequence</w:t>
            </w:r>
          </w:p>
          <w:p>
            <w:pPr>
              <w:spacing w:after="0" w:line="245"/>
            </w:pPr>
            <w:r>
              <w:rPr>
                <w:rFonts w:ascii="Calibri" w:cs="Calibri" w:eastAsia="Calibri" w:hAnsi="Calibri"/>
                <w:color w:val="14181D"/>
                <w:sz w:val="18"/>
                <w:szCs w:val="18"/>
              </w:rPr>
              <w:t xml:space="preserve">Because reports are used only for </w:t>
            </w:r>
            <w:r>
              <w:rPr>
                <w:rFonts w:ascii="Calibri" w:cs="Calibri" w:eastAsia="Calibri" w:hAnsi="Calibri"/>
                <w:b/>
                <w:bCs/>
                <w:color w:val="14181D"/>
                <w:sz w:val="18"/>
                <w:szCs w:val="18"/>
              </w:rPr>
              <w:t xml:space="preserve">corroboration</w:t>
            </w:r>
            <w:r>
              <w:rPr>
                <w:rFonts w:ascii="Calibri" w:cs="Calibri" w:eastAsia="Calibri" w:hAnsi="Calibri"/>
                <w:color w:val="14181D"/>
                <w:sz w:val="18"/>
                <w:szCs w:val="18"/>
              </w:rPr>
              <w:t xml:space="preserve"> and never to set state, a flood of false reports cannot move the forecast. In the prototype, planted false reports score 12–16% corroboration while genuine ones score 84–96%.</w:t>
            </w:r>
          </w:p>
        </w:tc>
      </w:tr>
    </w:tbl>
    <w:p>
      <w:pPr>
        <w:spacing w:after="60" w:before="0"/>
      </w:pPr>
      <w:r>
        <w:rPr>
          <w:sz w:val="2"/>
          <w:szCs w:val="2"/>
        </w:rPr>
        <w:t xml:space="preserve"/>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0180"/>
      </w:tblGrid>
      <w:tr>
        <w:tc>
          <w:tcPr>
            <w:tcW w:type="dxa" w:w="10180"/>
            <w:tcBorders>
              <w:top w:val="single" w:color="1F4E79" w:sz="4"/>
              <w:left w:val="single" w:color="1F4E79" w:sz="18"/>
              <w:bottom w:val="single" w:color="1F4E79" w:sz="4"/>
              <w:right w:val="single" w:color="1F4E79" w:sz="4"/>
            </w:tcBorders>
            <w:shd w:fill="EEF3F8" w:color="auto" w:val="clear"/>
            <w:tcMar>
              <w:top w:type="dxa" w:w="90"/>
              <w:left w:type="dxa" w:w="130"/>
              <w:bottom w:type="dxa" w:w="90"/>
              <w:right w:type="dxa" w:w="130"/>
            </w:tcMar>
          </w:tcPr>
          <w:p>
            <w:pPr>
              <w:spacing w:after="45"/>
            </w:pPr>
            <w:r>
              <w:rPr>
                <w:rFonts w:ascii="Calibri" w:cs="Calibri" w:eastAsia="Calibri" w:hAnsi="Calibri"/>
                <w:b/>
                <w:bCs/>
                <w:color w:val="1F4E79"/>
                <w:sz w:val="19"/>
                <w:szCs w:val="19"/>
              </w:rPr>
              <w:t xml:space="preserve">A note on what the inputs are not</w:t>
            </w:r>
          </w:p>
          <w:p>
            <w:pPr>
              <w:spacing w:after="0" w:line="245"/>
            </w:pPr>
            <w:r>
              <w:rPr>
                <w:rFonts w:ascii="Calibri" w:cs="Calibri" w:eastAsia="Calibri" w:hAnsi="Calibri"/>
                <w:color w:val="14181D"/>
                <w:sz w:val="18"/>
                <w:szCs w:val="18"/>
              </w:rPr>
              <w:t xml:space="preserve">The system does not need video analytics, a bespoke IoT estate or a new sensor rollout to be useful. It needs the feeds a city already has, mapped onto one normalised scale. Where a feed is missing, the facility simply carries more uncertainty — the ensemble widens rather than the model breaking, and the interface says which feeds are degraded.</w:t>
            </w:r>
          </w:p>
        </w:tc>
      </w:tr>
    </w:tbl>
    <w:p>
      <w:pPr>
        <w:spacing w:after="90" w:before="0"/>
      </w:pPr>
      <w:r>
        <w:rPr>
          <w:sz w:val="2"/>
          <w:szCs w:val="2"/>
        </w:rPr>
        <w:t xml:space="preserve"/>
      </w:r>
    </w:p>
    <w:p>
      <w:pPr>
        <w:pStyle w:val="Heading1"/>
        <w:pBdr>
          <w:bottom w:val="single" w:color="1F4E79" w:sz="10" w:space="3"/>
        </w:pBdr>
        <w:spacing w:after="110" w:before="170"/>
      </w:pPr>
      <w:r>
        <w:rPr>
          <w:rFonts w:ascii="Calibri" w:cs="Calibri" w:eastAsia="Calibri" w:hAnsi="Calibri"/>
          <w:b/>
          <w:bCs/>
          <w:color w:val="C9D2DC"/>
          <w:sz w:val="26"/>
          <w:szCs w:val="26"/>
        </w:rPr>
        <w:t xml:space="preserve">08  </w:t>
      </w:r>
      <w:r>
        <w:rPr>
          <w:rFonts w:ascii="Calibri" w:cs="Calibri" w:eastAsia="Calibri" w:hAnsi="Calibri"/>
          <w:b/>
          <w:bCs/>
          <w:color w:val="1F4E79"/>
          <w:sz w:val="26"/>
          <w:szCs w:val="26"/>
        </w:rPr>
        <w:t xml:space="preserve">Inside the engine</w:t>
      </w:r>
    </w:p>
    <w:p>
      <w:pPr>
        <w:spacing w:after="90" w:before="0" w:line="250"/>
      </w:pPr>
      <w:r>
        <w:rPr>
          <w:rFonts w:ascii="Calibri" w:cs="Calibri" w:eastAsia="Calibri" w:hAnsi="Calibri"/>
          <w:color w:val="14181D"/>
          <w:sz w:val="19"/>
          <w:szCs w:val="19"/>
        </w:rPr>
        <w:t xml:space="preserve">Four mechanisms do the work. None of them is novel on its own; the contribution is applying them together to cross-system urban failure.</w:t>
      </w:r>
    </w:p>
    <w:p>
      <w:pPr>
        <w:pStyle w:val="Heading2"/>
        <w:spacing w:after="65" w:before="130"/>
      </w:pPr>
      <w:r>
        <w:rPr>
          <w:rFonts w:ascii="Calibri" w:cs="Calibri" w:eastAsia="Calibri" w:hAnsi="Calibri"/>
          <w:b/>
          <w:bCs/>
          <w:color w:val="14181D"/>
          <w:sz w:val="21"/>
          <w:szCs w:val="21"/>
        </w:rPr>
        <w:t xml:space="preserve">1 · Ensemble — many futures, not one</w:t>
      </w:r>
    </w:p>
    <w:p>
      <w:pPr>
        <w:spacing w:after="90" w:before="0" w:line="250"/>
      </w:pPr>
      <w:r>
        <w:rPr>
          <w:rFonts w:ascii="Calibri" w:cs="Calibri" w:eastAsia="Calibri" w:hAnsi="Calibri"/>
          <w:color w:val="14181D"/>
          <w:sz w:val="19"/>
          <w:szCs w:val="19"/>
        </w:rPr>
        <w:t xml:space="preserve">Two hundred members are drawn, each with its own hazard realisation, facility capacities, exposure and dependency weights. Each is simulated across all 145 half-hour steps. Probability comes from the spread of the members, not from a confidence interval bolted onto a single run. This is standard practice in numerical weather prediction and the reason the system can say </w:t>
      </w:r>
      <w:r>
        <w:rPr>
          <w:rFonts w:ascii="Calibri" w:cs="Calibri" w:eastAsia="Calibri" w:hAnsi="Calibri"/>
          <w:i/>
          <w:iCs/>
          <w:color w:val="14181D"/>
          <w:sz w:val="19"/>
          <w:szCs w:val="19"/>
        </w:rPr>
        <w:t xml:space="preserve">61% within 24 hours</w:t>
      </w:r>
      <w:r>
        <w:rPr>
          <w:rFonts w:ascii="Calibri" w:cs="Calibri" w:eastAsia="Calibri" w:hAnsi="Calibri"/>
          <w:color w:val="14181D"/>
          <w:sz w:val="19"/>
          <w:szCs w:val="19"/>
        </w:rPr>
        <w:t xml:space="preserve"> rather than </w:t>
      </w:r>
      <w:r>
        <w:rPr>
          <w:rFonts w:ascii="Calibri" w:cs="Calibri" w:eastAsia="Calibri" w:hAnsi="Calibri"/>
          <w:i/>
          <w:iCs/>
          <w:color w:val="14181D"/>
          <w:sz w:val="19"/>
          <w:szCs w:val="19"/>
        </w:rPr>
        <w:t xml:space="preserve">high risk</w:t>
      </w:r>
      <w:r>
        <w:rPr>
          <w:rFonts w:ascii="Calibri" w:cs="Calibri" w:eastAsia="Calibri" w:hAnsi="Calibri"/>
          <w:color w:val="14181D"/>
          <w:sz w:val="19"/>
          <w:szCs w:val="19"/>
        </w:rPr>
        <w:t xml:space="preserve">.</w:t>
      </w:r>
    </w:p>
    <w:p>
      <w:pPr>
        <w:pStyle w:val="Heading2"/>
        <w:spacing w:after="65" w:before="130"/>
      </w:pPr>
      <w:r>
        <w:rPr>
          <w:rFonts w:ascii="Calibri" w:cs="Calibri" w:eastAsia="Calibri" w:hAnsi="Calibri"/>
          <w:b/>
          <w:bCs/>
          <w:color w:val="14181D"/>
          <w:sz w:val="21"/>
          <w:szCs w:val="21"/>
        </w:rPr>
        <w:t xml:space="preserve">2 · Assimilation — which futures still look right</w:t>
      </w:r>
    </w:p>
    <w:p>
      <w:pPr>
        <w:spacing w:after="90" w:before="0" w:line="250"/>
      </w:pPr>
      <w:r>
        <w:rPr>
          <w:rFonts w:ascii="Calibri" w:cs="Calibri" w:eastAsia="Calibri" w:hAnsi="Calibri"/>
          <w:color w:val="14181D"/>
          <w:sz w:val="19"/>
          <w:szCs w:val="19"/>
        </w:rPr>
        <w:t xml:space="preserve">As readings arrive, members that match the evidence gain weight. The filter is </w:t>
      </w:r>
      <w:r>
        <w:rPr>
          <w:rFonts w:ascii="Calibri" w:cs="Calibri" w:eastAsia="Calibri" w:hAnsi="Calibri"/>
          <w:b/>
          <w:bCs/>
          <w:color w:val="14181D"/>
          <w:sz w:val="19"/>
          <w:szCs w:val="19"/>
        </w:rPr>
        <w:t xml:space="preserve">localised</w:t>
      </w:r>
      <w:r>
        <w:rPr>
          <w:rFonts w:ascii="Calibri" w:cs="Calibri" w:eastAsia="Calibri" w:hAnsi="Calibri"/>
          <w:color w:val="14181D"/>
          <w:sz w:val="19"/>
          <w:szCs w:val="19"/>
        </w:rPr>
        <w:t xml:space="preserve">: each facility gets its own weights from its own evidence and that of its upstream neighbours, so a disagreement at a rain gauge does not wrongly reweight a hospital across the city. </w:t>
      </w:r>
      <w:r>
        <w:rPr>
          <w:rFonts w:ascii="Calibri" w:cs="Calibri" w:eastAsia="Calibri" w:hAnsi="Calibri"/>
          <w:b/>
          <w:bCs/>
          <w:color w:val="14181D"/>
          <w:sz w:val="19"/>
          <w:szCs w:val="19"/>
        </w:rPr>
        <w:t xml:space="preserve">Forgetting</w:t>
      </w:r>
      <w:r>
        <w:rPr>
          <w:rFonts w:ascii="Calibri" w:cs="Calibri" w:eastAsia="Calibri" w:hAnsi="Calibri"/>
          <w:color w:val="14181D"/>
          <w:sz w:val="19"/>
          <w:szCs w:val="19"/>
        </w:rPr>
        <w:t xml:space="preserve"> (about a 23-hour memory) lets the picture drift as the event evolves. </w:t>
      </w:r>
      <w:r>
        <w:rPr>
          <w:rFonts w:ascii="Calibri" w:cs="Calibri" w:eastAsia="Calibri" w:hAnsi="Calibri"/>
          <w:b/>
          <w:bCs/>
          <w:color w:val="14181D"/>
          <w:sz w:val="19"/>
          <w:szCs w:val="19"/>
        </w:rPr>
        <w:t xml:space="preserve">Adaptive tempering</w:t>
      </w:r>
      <w:r>
        <w:rPr>
          <w:rFonts w:ascii="Calibri" w:cs="Calibri" w:eastAsia="Calibri" w:hAnsi="Calibri"/>
          <w:color w:val="14181D"/>
          <w:sz w:val="19"/>
          <w:szCs w:val="19"/>
        </w:rPr>
        <w:t xml:space="preserve"> flattens the weights just enough to keep at least 12% of members effective, which prevents the filter collapsing onto one member and becoming falsely certain.</w:t>
      </w:r>
    </w:p>
    <w:p>
      <w:pPr>
        <w:pStyle w:val="Heading2"/>
        <w:spacing w:after="65" w:before="130"/>
      </w:pPr>
      <w:r>
        <w:rPr>
          <w:rFonts w:ascii="Calibri" w:cs="Calibri" w:eastAsia="Calibri" w:hAnsi="Calibri"/>
          <w:b/>
          <w:bCs/>
          <w:color w:val="14181D"/>
          <w:sz w:val="21"/>
          <w:szCs w:val="21"/>
        </w:rPr>
        <w:t xml:space="preserve">3 · Learning — which dependencies are real</w:t>
      </w:r>
    </w:p>
    <w:p>
      <w:pPr>
        <w:spacing w:after="90" w:before="0" w:line="250"/>
      </w:pPr>
      <w:r>
        <w:rPr>
          <w:rFonts w:ascii="Calibri" w:cs="Calibri" w:eastAsia="Calibri" w:hAnsi="Calibri"/>
          <w:color w:val="14181D"/>
          <w:sz w:val="19"/>
          <w:szCs w:val="19"/>
        </w:rPr>
        <w:t xml:space="preserve">No structure is assumed. Each facility runs a sparse Bayesian regression (Automatic Relevance Determination) of its own residual on the stress arriving from each upstream candidate. Priors are zero-mean, so no link is presumed to exist, and each link's precision is re-estimated, which drives redundant co-moving causes out. A link whose upstream never leaves its normal band carries no evidence and stays </w:t>
      </w:r>
      <w:r>
        <w:rPr>
          <w:rFonts w:ascii="Calibri" w:cs="Calibri" w:eastAsia="Calibri" w:hAnsi="Calibri"/>
          <w:b/>
          <w:bCs/>
          <w:color w:val="14181D"/>
          <w:sz w:val="19"/>
          <w:szCs w:val="19"/>
        </w:rPr>
        <w:t xml:space="preserve">awaiting evidence</w:t>
      </w:r>
      <w:r>
        <w:rPr>
          <w:rFonts w:ascii="Calibri" w:cs="Calibri" w:eastAsia="Calibri" w:hAnsi="Calibri"/>
          <w:color w:val="14181D"/>
          <w:sz w:val="19"/>
          <w:szCs w:val="19"/>
        </w:rPr>
        <w:t xml:space="preserve"> rather than being wrongly confirmed. Seven deliberately false links per city are the control: they are pruned.</w:t>
      </w:r>
    </w:p>
    <w:p>
      <w:pPr>
        <w:pStyle w:val="Heading2"/>
        <w:spacing w:after="65" w:before="130"/>
      </w:pPr>
      <w:r>
        <w:rPr>
          <w:rFonts w:ascii="Calibri" w:cs="Calibri" w:eastAsia="Calibri" w:hAnsi="Calibri"/>
          <w:b/>
          <w:bCs/>
          <w:color w:val="14181D"/>
          <w:sz w:val="21"/>
          <w:szCs w:val="21"/>
        </w:rPr>
        <w:t xml:space="preserve">4 · Trust — which sensors to believe</w:t>
      </w:r>
    </w:p>
    <w:p>
      <w:pPr>
        <w:spacing w:after="90" w:before="0" w:line="250"/>
      </w:pPr>
      <w:r>
        <w:rPr>
          <w:rFonts w:ascii="Calibri" w:cs="Calibri" w:eastAsia="Calibri" w:hAnsi="Calibri"/>
          <w:color w:val="14181D"/>
          <w:sz w:val="19"/>
          <w:szCs w:val="19"/>
        </w:rPr>
        <w:t xml:space="preserve">Each feed is scored on how far its reading sits from the ensemble's own prediction, measured in units of the total predictive spread — so a sensor disagreeing with an uncertain forecast is not taken as broken. Flatline detection catches a frozen gauge. A suspect channel is </w:t>
      </w:r>
      <w:r>
        <w:rPr>
          <w:rFonts w:ascii="Calibri" w:cs="Calibri" w:eastAsia="Calibri" w:hAnsi="Calibri"/>
          <w:b/>
          <w:bCs/>
          <w:color w:val="14181D"/>
          <w:sz w:val="19"/>
          <w:szCs w:val="19"/>
        </w:rPr>
        <w:t xml:space="preserve">quarantined</w:t>
      </w:r>
      <w:r>
        <w:rPr>
          <w:rFonts w:ascii="Calibri" w:cs="Calibri" w:eastAsia="Calibri" w:hAnsi="Calibri"/>
          <w:color w:val="14181D"/>
          <w:sz w:val="19"/>
          <w:szCs w:val="19"/>
        </w:rPr>
        <w:t xml:space="preserve">, meaning its past evidence is forgotten quickly, rather than deleted, so the system degrades gracefully instead of going blind.</w:t>
      </w:r>
    </w:p>
    <w:p>
      <w:pPr>
        <w:spacing w:after="70" w:before="0"/>
      </w:pPr>
      <w:r>
        <w:rPr>
          <w:sz w:val="2"/>
          <w:szCs w:val="2"/>
        </w:rPr>
        <w:t xml:space="preserve"/>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0180"/>
      </w:tblGrid>
      <w:tr>
        <w:tc>
          <w:tcPr>
            <w:tcW w:type="dxa" w:w="10180"/>
            <w:tcBorders>
              <w:top w:val="single" w:color="246B4C" w:sz="4"/>
              <w:left w:val="single" w:color="246B4C" w:sz="18"/>
              <w:bottom w:val="single" w:color="246B4C" w:sz="4"/>
              <w:right w:val="single" w:color="246B4C" w:sz="4"/>
            </w:tcBorders>
            <w:shd w:fill="EEF3F8" w:color="auto" w:val="clear"/>
            <w:tcMar>
              <w:top w:type="dxa" w:w="90"/>
              <w:left w:type="dxa" w:w="130"/>
              <w:bottom w:type="dxa" w:w="90"/>
              <w:right w:type="dxa" w:w="130"/>
            </w:tcMar>
          </w:tcPr>
          <w:p>
            <w:pPr>
              <w:spacing w:after="45"/>
            </w:pPr>
            <w:r>
              <w:rPr>
                <w:rFonts w:ascii="Calibri" w:cs="Calibri" w:eastAsia="Calibri" w:hAnsi="Calibri"/>
                <w:b/>
                <w:bCs/>
                <w:color w:val="246B4C"/>
                <w:sz w:val="19"/>
                <w:szCs w:val="19"/>
              </w:rPr>
              <w:t xml:space="preserve">Explainability is not an add-on</w:t>
            </w:r>
          </w:p>
          <w:p>
            <w:pPr>
              <w:spacing w:after="0" w:line="245"/>
            </w:pPr>
            <w:r>
              <w:rPr>
                <w:rFonts w:ascii="Calibri" w:cs="Calibri" w:eastAsia="Calibri" w:hAnsi="Calibri"/>
                <w:color w:val="14181D"/>
                <w:sz w:val="18"/>
                <w:szCs w:val="18"/>
              </w:rPr>
              <w:t xml:space="preserve">Every risk value decomposes into a baseline, the hazard's direct push, and each upstream link with its posterior weight, lag, mechanism, upstream reading and sensor trust. The strongest chain back to the hazard is shown as a sentence — for example </w:t>
            </w:r>
            <w:r>
              <w:rPr>
                <w:rFonts w:ascii="Calibri" w:cs="Calibri" w:eastAsia="Calibri" w:hAnsi="Calibri"/>
                <w:i/>
                <w:iCs/>
                <w:color w:val="14181D"/>
                <w:sz w:val="18"/>
                <w:szCs w:val="18"/>
              </w:rPr>
              <w:t xml:space="preserve">Rainfall → Pigeon House Branch → Capital Blvd → EMS Station 2 → WakeMed</w:t>
            </w:r>
            <w:r>
              <w:rPr>
                <w:rFonts w:ascii="Calibri" w:cs="Calibri" w:eastAsia="Calibri" w:hAnsi="Calibri"/>
                <w:color w:val="14181D"/>
                <w:sz w:val="18"/>
                <w:szCs w:val="18"/>
              </w:rPr>
              <w:t xml:space="preserve">. An operator can always ask why, and get an answer in terms of their own city.</w:t>
            </w:r>
          </w:p>
        </w:tc>
      </w:tr>
    </w:tbl>
    <w:p>
      <w:pPr>
        <w:spacing w:after="90" w:before="0"/>
      </w:pPr>
      <w:r>
        <w:rPr>
          <w:sz w:val="2"/>
          <w:szCs w:val="2"/>
        </w:rPr>
        <w:t xml:space="preserve"/>
      </w:r>
    </w:p>
    <w:p>
      <w:pPr>
        <w:pStyle w:val="Heading1"/>
        <w:pBdr>
          <w:bottom w:val="single" w:color="1F4E79" w:sz="10" w:space="3"/>
        </w:pBdr>
        <w:spacing w:after="110" w:before="170"/>
      </w:pPr>
      <w:r>
        <w:rPr>
          <w:rFonts w:ascii="Calibri" w:cs="Calibri" w:eastAsia="Calibri" w:hAnsi="Calibri"/>
          <w:b/>
          <w:bCs/>
          <w:color w:val="C9D2DC"/>
          <w:sz w:val="26"/>
          <w:szCs w:val="26"/>
        </w:rPr>
        <w:t xml:space="preserve">08  </w:t>
      </w:r>
      <w:r>
        <w:rPr>
          <w:rFonts w:ascii="Calibri" w:cs="Calibri" w:eastAsia="Calibri" w:hAnsi="Calibri"/>
          <w:b/>
          <w:bCs/>
          <w:color w:val="1F4E79"/>
          <w:sz w:val="26"/>
          <w:szCs w:val="26"/>
        </w:rPr>
        <w:t xml:space="preserve">Technical stack, and why</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832"/>
        <w:gridCol w:w="2749"/>
        <w:gridCol w:w="5599"/>
      </w:tblGrid>
      <w:tr>
        <w:trPr>
          <w:cantSplit/>
          <w:tblHeader/>
        </w:trPr>
        <w:tc>
          <w:tcPr>
            <w:tcW w:type="dxa" w:w="1832"/>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Layer</w:t>
            </w:r>
          </w:p>
        </w:tc>
        <w:tc>
          <w:tcPr>
            <w:tcW w:type="dxa" w:w="2749"/>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Technology</w:t>
            </w:r>
          </w:p>
        </w:tc>
        <w:tc>
          <w:tcPr>
            <w:tcW w:type="dxa" w:w="5599"/>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Why this choice</w:t>
            </w:r>
          </w:p>
        </w:tc>
      </w:tr>
      <w:tr>
        <w:trPr>
          <w:cantSplit/>
        </w:trPr>
        <w:tc>
          <w:tcPr>
            <w:tcW w:type="dxa" w:w="183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Data pipeline</w:t>
            </w:r>
          </w:p>
        </w:tc>
        <w:tc>
          <w:tcPr>
            <w:tcW w:type="dxa" w:w="274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Python 3, no framework</w:t>
            </w:r>
          </w:p>
        </w:tc>
        <w:tc>
          <w:tcPr>
            <w:tcW w:type="dxa" w:w="559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Runs once per city, offline. A dependency-free MVT decoder keeps the toolchain installable anywhere; output is committed, so the site never depends on the pipeline at runtime.</w:t>
            </w:r>
          </w:p>
        </w:tc>
      </w:tr>
      <w:tr>
        <w:trPr>
          <w:cantSplit/>
        </w:trPr>
        <w:tc>
          <w:tcPr>
            <w:tcW w:type="dxa" w:w="183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City geometry</w:t>
            </w:r>
          </w:p>
        </w:tc>
        <w:tc>
          <w:tcPr>
            <w:tcW w:type="dxa" w:w="274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OpenStreetMap via OpenMapTiles vector tiles (z10–14)</w:t>
            </w:r>
          </w:p>
        </w:tc>
        <w:tc>
          <w:tcPr>
            <w:tcW w:type="dxa" w:w="559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Open licence, global coverage, same schema in Nagpur and Raleigh. 170 tiles ship with the app, so the twin works with no network.</w:t>
            </w:r>
          </w:p>
        </w:tc>
      </w:tr>
      <w:tr>
        <w:trPr>
          <w:cantSplit/>
        </w:trPr>
        <w:tc>
          <w:tcPr>
            <w:tcW w:type="dxa" w:w="183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Routing</w:t>
            </w:r>
          </w:p>
        </w:tc>
        <w:tc>
          <w:tcPr>
            <w:tcW w:type="dxa" w:w="274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Dijkstra on the real street and waterway graphs</w:t>
            </w:r>
          </w:p>
        </w:tc>
        <w:tc>
          <w:tcPr>
            <w:tcW w:type="dxa" w:w="559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Every dependency link follows a route that physically exists, with a real length and a defensible lag.</w:t>
            </w:r>
          </w:p>
        </w:tc>
      </w:tr>
      <w:tr>
        <w:trPr>
          <w:cantSplit/>
        </w:trPr>
        <w:tc>
          <w:tcPr>
            <w:tcW w:type="dxa" w:w="183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Engine</w:t>
            </w:r>
          </w:p>
        </w:tc>
        <w:tc>
          <w:tcPr>
            <w:tcW w:type="dxa" w:w="274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Vanilla JavaScript, typed arrays</w:t>
            </w:r>
          </w:p>
        </w:tc>
        <w:tc>
          <w:tcPr>
            <w:tcW w:type="dxa" w:w="559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 framework tax on a numerical inner loop. Float32Array state makes a 200-member ensemble over 145 steps fit in 27–34 MB and build in about a second.</w:t>
            </w:r>
          </w:p>
        </w:tc>
      </w:tr>
      <w:tr>
        <w:trPr>
          <w:cantSplit/>
        </w:trPr>
        <w:tc>
          <w:tcPr>
            <w:tcW w:type="dxa" w:w="183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Map rendering</w:t>
            </w:r>
          </w:p>
        </w:tc>
        <w:tc>
          <w:tcPr>
            <w:tcW w:type="dxa" w:w="274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MapLibre GL JS 4.7 (Mapbox GL v3 optional)</w:t>
            </w:r>
          </w:p>
        </w:tc>
        <w:tc>
          <w:tcPr>
            <w:tcW w:type="dxa" w:w="559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Open-source, offline-capable, same API as Mapbox. Mapbox Standard is supported when a token is supplied, for photoreal buildings.</w:t>
            </w:r>
          </w:p>
        </w:tc>
      </w:tr>
      <w:tr>
        <w:trPr>
          <w:cantSplit/>
        </w:trPr>
        <w:tc>
          <w:tcPr>
            <w:tcW w:type="dxa" w:w="183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3D city</w:t>
            </w:r>
          </w:p>
        </w:tc>
        <w:tc>
          <w:tcPr>
            <w:tcW w:type="dxa" w:w="274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Custom WebGL2 layer + earcut</w:t>
            </w:r>
          </w:p>
        </w:tc>
        <w:tc>
          <w:tcPr>
            <w:tcW w:type="dxa" w:w="559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Procedural facades and real sun shadow maps at city scale, which fill-extrusion boxes cannot deliver.</w:t>
            </w:r>
          </w:p>
        </w:tc>
      </w:tr>
      <w:tr>
        <w:trPr>
          <w:cantSplit/>
        </w:trPr>
        <w:tc>
          <w:tcPr>
            <w:tcW w:type="dxa" w:w="183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Facility models</w:t>
            </w:r>
          </w:p>
        </w:tc>
        <w:tc>
          <w:tcPr>
            <w:tcW w:type="dxa" w:w="274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three.js 0.160, glTF, CC0 PBR textures</w:t>
            </w:r>
          </w:p>
        </w:tc>
        <w:tc>
          <w:tcPr>
            <w:tcW w:type="dxa" w:w="559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Detailed models load only for the selected facility, so 57 assets cost nothing city-wide.</w:t>
            </w:r>
          </w:p>
        </w:tc>
      </w:tr>
      <w:tr>
        <w:trPr>
          <w:cantSplit/>
        </w:trPr>
        <w:tc>
          <w:tcPr>
            <w:tcW w:type="dxa" w:w="183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Interface</w:t>
            </w:r>
          </w:p>
        </w:tc>
        <w:tc>
          <w:tcPr>
            <w:tcW w:type="dxa" w:w="274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Vanilla JS, hash router, one document</w:t>
            </w:r>
          </w:p>
        </w:tc>
        <w:tc>
          <w:tcPr>
            <w:tcW w:type="dxa" w:w="559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engine and the 3D city are built once and shared by all six pages. No build step; the whole app is static files.</w:t>
            </w:r>
          </w:p>
        </w:tc>
      </w:tr>
      <w:tr>
        <w:trPr>
          <w:cantSplit/>
        </w:trPr>
        <w:tc>
          <w:tcPr>
            <w:tcW w:type="dxa" w:w="183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Distribution</w:t>
            </w:r>
          </w:p>
        </w:tc>
        <w:tc>
          <w:tcPr>
            <w:tcW w:type="dxa" w:w="274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Single-page build, base64-bundled tiles</w:t>
            </w:r>
          </w:p>
        </w:tc>
        <w:tc>
          <w:tcPr>
            <w:tcW w:type="dxa" w:w="559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Runs under a strict Content-Security-Policy with connect-src 'self'. Deployable to any static host, or handed over as one file.</w:t>
            </w:r>
          </w:p>
        </w:tc>
      </w:tr>
      <w:tr>
        <w:trPr>
          <w:cantSplit/>
        </w:trPr>
        <w:tc>
          <w:tcPr>
            <w:tcW w:type="dxa" w:w="183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Testing</w:t>
            </w:r>
          </w:p>
        </w:tc>
        <w:tc>
          <w:tcPr>
            <w:tcW w:type="dxa" w:w="274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Playwright + Node probes</w:t>
            </w:r>
          </w:p>
        </w:tc>
        <w:tc>
          <w:tcPr>
            <w:tcW w:type="dxa" w:w="559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31 interface checks, six engine baselines diffed byte-for-byte, plus probes for the planner and the comms products.</w:t>
            </w:r>
          </w:p>
        </w:tc>
      </w:tr>
    </w:tbl>
    <w:p>
      <w:pPr>
        <w:spacing w:after="80" w:before="0"/>
      </w:pPr>
      <w:r>
        <w:rPr>
          <w:sz w:val="2"/>
          <w:szCs w:val="2"/>
        </w:rPr>
        <w:t xml:space="preserve"/>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0180"/>
      </w:tblGrid>
      <w:tr>
        <w:tc>
          <w:tcPr>
            <w:tcW w:type="dxa" w:w="10180"/>
            <w:tcBorders>
              <w:top w:val="single" w:color="8A6A12" w:sz="4"/>
              <w:left w:val="single" w:color="8A6A12" w:sz="18"/>
              <w:bottom w:val="single" w:color="8A6A12" w:sz="4"/>
              <w:right w:val="single" w:color="8A6A12" w:sz="4"/>
            </w:tcBorders>
            <w:shd w:fill="EEF3F8" w:color="auto" w:val="clear"/>
            <w:tcMar>
              <w:top w:type="dxa" w:w="90"/>
              <w:left w:type="dxa" w:w="130"/>
              <w:bottom w:type="dxa" w:w="90"/>
              <w:right w:type="dxa" w:w="130"/>
            </w:tcMar>
          </w:tcPr>
          <w:p>
            <w:pPr>
              <w:spacing w:after="45"/>
            </w:pPr>
            <w:r>
              <w:rPr>
                <w:rFonts w:ascii="Calibri" w:cs="Calibri" w:eastAsia="Calibri" w:hAnsi="Calibri"/>
                <w:b/>
                <w:bCs/>
                <w:color w:val="8A6A12"/>
                <w:sz w:val="19"/>
                <w:szCs w:val="19"/>
              </w:rPr>
              <w:t xml:space="preserve">Why no backend server</w:t>
            </w:r>
          </w:p>
          <w:p>
            <w:pPr>
              <w:spacing w:after="0" w:line="245"/>
            </w:pPr>
            <w:r>
              <w:rPr>
                <w:rFonts w:ascii="Calibri" w:cs="Calibri" w:eastAsia="Calibri" w:hAnsi="Calibri"/>
                <w:color w:val="14181D"/>
                <w:sz w:val="18"/>
                <w:szCs w:val="18"/>
              </w:rPr>
              <w:t xml:space="preserve">Everything runs in the browser from committed data. The upside is real: it works offline, deploys anywhere, costs nothing to host, and a judge or official can open it with no account. The limit is equally real and stated in §12 — this architecture caps at roughly 200–300 monitored facilities before memory becomes the binding constraint, and a live multi-user deployment needs the engine to move server-side.</w:t>
            </w:r>
          </w:p>
        </w:tc>
      </w:tr>
    </w:tbl>
    <w:p>
      <w:pPr>
        <w:spacing w:after="9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Adding a city</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610"/>
        <w:gridCol w:w="5294"/>
        <w:gridCol w:w="4276"/>
      </w:tblGrid>
      <w:tr>
        <w:trPr>
          <w:cantSplit/>
          <w:tblHeader/>
        </w:trPr>
        <w:tc>
          <w:tcPr>
            <w:tcW w:type="dxa" w:w="61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Step</w:t>
            </w:r>
          </w:p>
        </w:tc>
        <w:tc>
          <w:tcPr>
            <w:tcW w:type="dxa" w:w="5294"/>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What is done</w:t>
            </w:r>
          </w:p>
        </w:tc>
        <w:tc>
          <w:tcPr>
            <w:tcW w:type="dxa" w:w="4276"/>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Effort</w:t>
            </w:r>
          </w:p>
        </w:tc>
      </w:tr>
      <w:tr>
        <w:trPr>
          <w:cantSplit/>
        </w:trPr>
        <w:tc>
          <w:tcPr>
            <w:tcW w:type="dxa" w:w="61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1</w:t>
            </w:r>
          </w:p>
        </w:tc>
        <w:tc>
          <w:tcPr>
            <w:tcW w:type="dxa" w:w="529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Fetch OpenStreetMap vector tiles for the extent</w:t>
            </w:r>
          </w:p>
        </w:tc>
        <w:tc>
          <w:tcPr>
            <w:tcW w:type="dxa" w:w="427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Automated — one command</w:t>
            </w:r>
          </w:p>
        </w:tc>
      </w:tr>
      <w:tr>
        <w:trPr>
          <w:cantSplit/>
        </w:trPr>
        <w:tc>
          <w:tcPr>
            <w:tcW w:type="dxa" w:w="61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2</w:t>
            </w:r>
          </w:p>
        </w:tc>
        <w:tc>
          <w:tcPr>
            <w:tcW w:type="dxa" w:w="529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Write a specification file: which assets are monitored, which links engineers consider possible, the time zone, the overview camera</w:t>
            </w:r>
          </w:p>
        </w:tc>
        <w:tc>
          <w:tcPr>
            <w:tcW w:type="dxa" w:w="427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only real work — days, by someone who knows the city</w:t>
            </w:r>
          </w:p>
        </w:tc>
      </w:tr>
      <w:tr>
        <w:trPr>
          <w:cantSplit/>
        </w:trPr>
        <w:tc>
          <w:tcPr>
            <w:tcW w:type="dxa" w:w="61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3</w:t>
            </w:r>
          </w:p>
        </w:tc>
        <w:tc>
          <w:tcPr>
            <w:tcW w:type="dxa" w:w="529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Run the builder: it places gauges at real river-road crossings, routes every link on the street and waterway graphs, chunks the networks and computes substation service areas</w:t>
            </w:r>
          </w:p>
        </w:tc>
        <w:tc>
          <w:tcPr>
            <w:tcW w:type="dxa" w:w="427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Automated — minutes</w:t>
            </w:r>
          </w:p>
        </w:tc>
      </w:tr>
      <w:tr>
        <w:trPr>
          <w:cantSplit/>
        </w:trPr>
        <w:tc>
          <w:tcPr>
            <w:tcW w:type="dxa" w:w="61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4</w:t>
            </w:r>
          </w:p>
        </w:tc>
        <w:tc>
          <w:tcPr>
            <w:tcW w:type="dxa" w:w="529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Enrich buildings: class and height from land use, lift hero-site footprints</w:t>
            </w:r>
          </w:p>
        </w:tc>
        <w:tc>
          <w:tcPr>
            <w:tcW w:type="dxa" w:w="427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Automated</w:t>
            </w:r>
          </w:p>
        </w:tc>
      </w:tr>
      <w:tr>
        <w:trPr>
          <w:cantSplit/>
        </w:trPr>
        <w:tc>
          <w:tcPr>
            <w:tcW w:type="dxa" w:w="61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5</w:t>
            </w:r>
          </w:p>
        </w:tc>
        <w:tc>
          <w:tcPr>
            <w:tcW w:type="dxa" w:w="529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Pick scenarios — the generic four run anywhere; city-specific ones are authored</w:t>
            </w:r>
          </w:p>
        </w:tc>
        <w:tc>
          <w:tcPr>
            <w:tcW w:type="dxa" w:w="427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Optional</w:t>
            </w:r>
          </w:p>
        </w:tc>
      </w:tr>
    </w:tbl>
    <w:p>
      <w:pPr>
        <w:spacing w:after="90" w:before="0" w:line="250"/>
      </w:pPr>
      <w:r>
        <w:rPr>
          <w:rFonts w:ascii="Calibri" w:cs="Calibri" w:eastAsia="Calibri" w:hAnsi="Calibri"/>
          <w:color w:val="14181D"/>
          <w:sz w:val="19"/>
          <w:szCs w:val="19"/>
        </w:rPr>
        <w:t xml:space="preserve">The intervention catalogue does not need writing: for any city other than Raleigh it is </w:t>
      </w:r>
      <w:r>
        <w:rPr>
          <w:rFonts w:ascii="Calibri" w:cs="Calibri" w:eastAsia="Calibri" w:hAnsi="Calibri"/>
          <w:b/>
          <w:bCs/>
          <w:color w:val="14181D"/>
          <w:sz w:val="19"/>
          <w:szCs w:val="19"/>
        </w:rPr>
        <w:t xml:space="preserve">generated from the learned dependency graph</w:t>
      </w:r>
      <w:r>
        <w:rPr>
          <w:rFonts w:ascii="Calibri" w:cs="Calibri" w:eastAsia="Calibri" w:hAnsi="Calibri"/>
          <w:color w:val="14181D"/>
          <w:sz w:val="19"/>
          <w:szCs w:val="19"/>
        </w:rPr>
        <w:t xml:space="preserve">, giving the remedies to the facilities that feed the most consequential links. Nagpur's nine actions were produced this way.</w:t>
      </w:r>
    </w:p>
    <w:p>
      <w:pPr>
        <w:spacing w:after="90" w:before="0"/>
      </w:pPr>
      <w:r>
        <w:rPr>
          <w:sz w:val="2"/>
          <w:szCs w:val="2"/>
        </w:rPr>
        <w:t xml:space="preserve"/>
      </w:r>
    </w:p>
    <w:p>
      <w:pPr>
        <w:pStyle w:val="Heading1"/>
        <w:pBdr>
          <w:bottom w:val="single" w:color="1F4E79" w:sz="10" w:space="3"/>
        </w:pBdr>
        <w:spacing w:after="110" w:before="170"/>
      </w:pPr>
      <w:r>
        <w:rPr>
          <w:rFonts w:ascii="Calibri" w:cs="Calibri" w:eastAsia="Calibri" w:hAnsi="Calibri"/>
          <w:b/>
          <w:bCs/>
          <w:color w:val="C9D2DC"/>
          <w:sz w:val="26"/>
          <w:szCs w:val="26"/>
        </w:rPr>
        <w:t xml:space="preserve">09  </w:t>
      </w:r>
      <w:r>
        <w:rPr>
          <w:rFonts w:ascii="Calibri" w:cs="Calibri" w:eastAsia="Calibri" w:hAnsi="Calibri"/>
          <w:b/>
          <w:bCs/>
          <w:color w:val="1F4E79"/>
          <w:sz w:val="26"/>
          <w:szCs w:val="26"/>
        </w:rPr>
        <w:t xml:space="preserve">System flow</w:t>
      </w:r>
    </w:p>
    <w:p>
      <w:pPr>
        <w:spacing w:after="25" w:before="50"/>
        <w:jc w:val="center"/>
      </w:pPr>
      <w:r>
        <w:drawing>
          <wp:inline distT="0" distB="0" distL="0" distR="0">
            <wp:extent cx="5953125"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53125" cy="87630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Figure 3 — What happens in each half-hour step, and why a forecast cannot contain future information.</w:t>
      </w:r>
    </w:p>
    <w:p>
      <w:pPr>
        <w:pStyle w:val="Heading2"/>
        <w:spacing w:after="65" w:before="130"/>
      </w:pPr>
      <w:r>
        <w:rPr>
          <w:rFonts w:ascii="Calibri" w:cs="Calibri" w:eastAsia="Calibri" w:hAnsi="Calibri"/>
          <w:b/>
          <w:bCs/>
          <w:color w:val="14181D"/>
          <w:sz w:val="21"/>
          <w:szCs w:val="21"/>
        </w:rPr>
        <w:t xml:space="preserve">Measured performance</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4072"/>
        <w:gridCol w:w="3054"/>
        <w:gridCol w:w="3054"/>
      </w:tblGrid>
      <w:tr>
        <w:trPr>
          <w:cantSplit/>
          <w:tblHeader/>
        </w:trPr>
        <w:tc>
          <w:tcPr>
            <w:tcW w:type="dxa" w:w="4072"/>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7"/>
                <w:szCs w:val="17"/>
              </w:rPr>
              <w:t xml:space="preserve">Operation</w:t>
            </w:r>
          </w:p>
        </w:tc>
        <w:tc>
          <w:tcPr>
            <w:tcW w:type="dxa" w:w="3054"/>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7"/>
                <w:szCs w:val="17"/>
              </w:rPr>
              <w:t xml:space="preserve">Raleigh (44 facilities)</w:t>
            </w:r>
          </w:p>
        </w:tc>
        <w:tc>
          <w:tcPr>
            <w:tcW w:type="dxa" w:w="3054"/>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7"/>
                <w:szCs w:val="17"/>
              </w:rPr>
              <w:t xml:space="preserve">Nagpur (57 facilities)</w:t>
            </w:r>
          </w:p>
        </w:tc>
      </w:tr>
      <w:tr>
        <w:trPr>
          <w:cantSplit/>
        </w:trPr>
        <w:tc>
          <w:tcPr>
            <w:tcW w:type="dxa" w:w="407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Full engine build — 200 members × 145 steps</w:t>
            </w:r>
          </w:p>
        </w:tc>
        <w:tc>
          <w:tcPr>
            <w:tcW w:type="dxa" w:w="305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911 ms</w:t>
            </w:r>
          </w:p>
        </w:tc>
        <w:tc>
          <w:tcPr>
            <w:tcW w:type="dxa" w:w="305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1,174 ms</w:t>
            </w:r>
          </w:p>
        </w:tc>
      </w:tr>
      <w:tr>
        <w:trPr>
          <w:cantSplit/>
        </w:trPr>
        <w:tc>
          <w:tcPr>
            <w:tcW w:type="dxa" w:w="407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Memory resident per engine</w:t>
            </w:r>
          </w:p>
        </w:tc>
        <w:tc>
          <w:tcPr>
            <w:tcW w:type="dxa" w:w="305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27 MB</w:t>
            </w:r>
          </w:p>
        </w:tc>
        <w:tc>
          <w:tcPr>
            <w:tcW w:type="dxa" w:w="305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34 MB</w:t>
            </w:r>
          </w:p>
        </w:tc>
      </w:tr>
      <w:tr>
        <w:trPr>
          <w:cantSplit/>
        </w:trPr>
        <w:tc>
          <w:tcPr>
            <w:tcW w:type="dxa" w:w="407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Replay validation across the whole window</w:t>
            </w:r>
          </w:p>
        </w:tc>
        <w:tc>
          <w:tcPr>
            <w:tcW w:type="dxa" w:w="305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46 ms</w:t>
            </w:r>
          </w:p>
        </w:tc>
        <w:tc>
          <w:tcPr>
            <w:tcW w:type="dxa" w:w="305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91 ms</w:t>
            </w:r>
          </w:p>
        </w:tc>
      </w:tr>
      <w:tr>
        <w:trPr>
          <w:cantSplit/>
        </w:trPr>
        <w:tc>
          <w:tcPr>
            <w:tcW w:type="dxa" w:w="407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Crisis registry at one step</w:t>
            </w:r>
          </w:p>
        </w:tc>
        <w:tc>
          <w:tcPr>
            <w:tcW w:type="dxa" w:w="305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7 ms</w:t>
            </w:r>
          </w:p>
        </w:tc>
        <w:tc>
          <w:tcPr>
            <w:tcW w:type="dxa" w:w="305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10 ms</w:t>
            </w:r>
          </w:p>
        </w:tc>
      </w:tr>
      <w:tr>
        <w:trPr>
          <w:cantSplit/>
        </w:trPr>
        <w:tc>
          <w:tcPr>
            <w:tcW w:type="dxa" w:w="4072"/>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Counterfactual evaluation of one plan</w:t>
            </w:r>
          </w:p>
        </w:tc>
        <w:tc>
          <w:tcPr>
            <w:tcW w:type="dxa" w:w="305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74 ms</w:t>
            </w:r>
          </w:p>
        </w:tc>
        <w:tc>
          <w:tcPr>
            <w:tcW w:type="dxa" w:w="305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78 ms</w:t>
            </w:r>
          </w:p>
        </w:tc>
      </w:tr>
      <w:tr>
        <w:trPr>
          <w:cantSplit/>
        </w:trPr>
        <w:tc>
          <w:tcPr>
            <w:tcW w:type="dxa" w:w="4072"/>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Candidate links learned</w:t>
            </w:r>
          </w:p>
        </w:tc>
        <w:tc>
          <w:tcPr>
            <w:tcW w:type="dxa" w:w="305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71 (7 fake)</w:t>
            </w:r>
          </w:p>
        </w:tc>
        <w:tc>
          <w:tcPr>
            <w:tcW w:type="dxa" w:w="305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102 (7 fake)</w:t>
            </w:r>
          </w:p>
        </w:tc>
      </w:tr>
    </w:tbl>
    <w:p>
      <w:pPr>
        <w:spacing w:after="70" w:before="0"/>
      </w:pPr>
      <w:r>
        <w:rPr>
          <w:sz w:val="2"/>
          <w:szCs w:val="2"/>
        </w:rPr>
        <w:t xml:space="preserve"/>
      </w:r>
    </w:p>
    <w:p>
      <w:pPr>
        <w:spacing w:after="90" w:before="0" w:line="250"/>
      </w:pPr>
      <w:r>
        <w:rPr>
          <w:rFonts w:ascii="Calibri" w:cs="Calibri" w:eastAsia="Calibri" w:hAnsi="Calibri"/>
          <w:color w:val="14181D"/>
          <w:sz w:val="19"/>
          <w:szCs w:val="19"/>
        </w:rPr>
        <w:t xml:space="preserve">The build is the only expensive operation, and it happens once per city and scenario. Everything a page asks for afterwards is tens of milliseconds, which is why six views can share one engine without a worker thread.</w:t>
      </w:r>
    </w:p>
    <w:p>
      <w:pPr>
        <w:pStyle w:val="Heading1"/>
        <w:pBdr>
          <w:bottom w:val="single" w:color="1F4E79" w:sz="10" w:space="3"/>
        </w:pBdr>
        <w:spacing w:after="110" w:before="170"/>
      </w:pPr>
      <w:r>
        <w:rPr>
          <w:rFonts w:ascii="Calibri" w:cs="Calibri" w:eastAsia="Calibri" w:hAnsi="Calibri"/>
          <w:b/>
          <w:bCs/>
          <w:color w:val="C9D2DC"/>
          <w:sz w:val="26"/>
          <w:szCs w:val="26"/>
        </w:rPr>
        <w:t xml:space="preserve">10  </w:t>
      </w:r>
      <w:r>
        <w:rPr>
          <w:rFonts w:ascii="Calibri" w:cs="Calibri" w:eastAsia="Calibri" w:hAnsi="Calibri"/>
          <w:b/>
          <w:bCs/>
          <w:color w:val="1F4E79"/>
          <w:sz w:val="26"/>
          <w:szCs w:val="26"/>
        </w:rPr>
        <w:t xml:space="preserve">User flow and feature flow</w:t>
      </w:r>
    </w:p>
    <w:p>
      <w:pPr>
        <w:spacing w:after="25" w:before="50"/>
        <w:jc w:val="center"/>
      </w:pPr>
      <w:r>
        <w:drawing>
          <wp:inline distT="0" distB="0" distL="0" distR="0">
            <wp:extent cx="5953125"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53125" cy="1323975"/>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Figure 4 — The duty officer's path through the six features, and the shared context that connects them.</w:t>
      </w:r>
    </w:p>
    <w:p>
      <w:pPr>
        <w:pStyle w:val="Heading2"/>
        <w:spacing w:after="65" w:before="130"/>
      </w:pPr>
      <w:r>
        <w:rPr>
          <w:rFonts w:ascii="Calibri" w:cs="Calibri" w:eastAsia="Calibri" w:hAnsi="Calibri"/>
          <w:b/>
          <w:bCs/>
          <w:color w:val="14181D"/>
          <w:sz w:val="21"/>
          <w:szCs w:val="21"/>
        </w:rPr>
        <w:t xml:space="preserve">A worked session — Nagpur, T+37 h</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713"/>
        <w:gridCol w:w="3563"/>
        <w:gridCol w:w="5904"/>
      </w:tblGrid>
      <w:tr>
        <w:trPr>
          <w:cantSplit/>
          <w:tblHeader/>
        </w:trPr>
        <w:tc>
          <w:tcPr>
            <w:tcW w:type="dxa" w:w="713"/>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Step</w:t>
            </w:r>
          </w:p>
        </w:tc>
        <w:tc>
          <w:tcPr>
            <w:tcW w:type="dxa" w:w="3563"/>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The operator does</w:t>
            </w:r>
          </w:p>
        </w:tc>
        <w:tc>
          <w:tcPr>
            <w:tcW w:type="dxa" w:w="5904"/>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The system answers</w:t>
            </w:r>
          </w:p>
        </w:tc>
      </w:tr>
      <w:tr>
        <w:trPr>
          <w:cantSplit/>
        </w:trPr>
        <w:tc>
          <w:tcPr>
            <w:tcW w:type="dxa" w:w="71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1</w:t>
            </w:r>
          </w:p>
        </w:tc>
        <w:tc>
          <w:tcPr>
            <w:tcW w:type="dxa" w:w="356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Opens the Situation page</w:t>
            </w:r>
          </w:p>
        </w:tc>
        <w:tc>
          <w:tcPr>
            <w:tcW w:type="dxa" w:w="590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One crisis in the registry: an urban flood, precursor stage, around Ambazari and Sitabuldi. 32 facilities forecast to cross CRITICAL within 24 h, the first at T+42.5.</w:t>
            </w:r>
          </w:p>
        </w:tc>
      </w:tr>
      <w:tr>
        <w:trPr>
          <w:cantSplit/>
        </w:trPr>
        <w:tc>
          <w:tcPr>
            <w:tcW w:type="dxa" w:w="71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2</w:t>
            </w:r>
          </w:p>
        </w:tc>
        <w:tc>
          <w:tcPr>
            <w:tcW w:type="dxa" w:w="356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Checks whether it is self-sustaining</w:t>
            </w:r>
          </w:p>
        </w:tc>
        <w:tc>
          <w:tcPr>
            <w:tcW w:type="dxa" w:w="590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Cascade-R is below 1 now but forecast to cross at T+46 — the hazard still dominates, but not for much longer.</w:t>
            </w:r>
          </w:p>
        </w:tc>
      </w:tr>
      <w:tr>
        <w:trPr>
          <w:cantSplit/>
        </w:trPr>
        <w:tc>
          <w:tcPr>
            <w:tcW w:type="dxa" w:w="71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3</w:t>
            </w:r>
          </w:p>
        </w:tc>
        <w:tc>
          <w:tcPr>
            <w:tcW w:type="dxa" w:w="356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Opens the crisis</w:t>
            </w:r>
          </w:p>
        </w:tc>
        <w:tc>
          <w:tcPr>
            <w:tcW w:type="dxa" w:w="590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Members, districts, about 1.07 million residents in the footprint, and the order in which facilities are forecast to fail.</w:t>
            </w:r>
          </w:p>
        </w:tc>
      </w:tr>
      <w:tr>
        <w:trPr>
          <w:cantSplit/>
        </w:trPr>
        <w:tc>
          <w:tcPr>
            <w:tcW w:type="dxa" w:w="71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4</w:t>
            </w:r>
          </w:p>
        </w:tc>
        <w:tc>
          <w:tcPr>
            <w:tcW w:type="dxa" w:w="356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Opens Response</w:t>
            </w:r>
          </w:p>
        </w:tc>
        <w:tc>
          <w:tcPr>
            <w:tcW w:type="dxa" w:w="590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Nine actions. The planner recommends four within five crews: flood barriers at Vasant Nagar, early closure at Jhansi Rani Square, pre-staged ambulances, and fuel to the mobile sites. Expected: 16% fewer critical facility-hours.</w:t>
            </w:r>
          </w:p>
        </w:tc>
      </w:tr>
      <w:tr>
        <w:trPr>
          <w:cantSplit/>
        </w:trPr>
        <w:tc>
          <w:tcPr>
            <w:tcW w:type="dxa" w:w="71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5</w:t>
            </w:r>
          </w:p>
        </w:tc>
        <w:tc>
          <w:tcPr>
            <w:tcW w:type="dxa" w:w="356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Asks how long there is</w:t>
            </w:r>
          </w:p>
        </w:tc>
        <w:tc>
          <w:tcPr>
            <w:tcW w:type="dxa" w:w="590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crews can start as late as T+47 and still keep 80% of the benefit. This is not the urgent decision.</w:t>
            </w:r>
          </w:p>
        </w:tc>
      </w:tr>
      <w:tr>
        <w:trPr>
          <w:cantSplit/>
        </w:trPr>
        <w:tc>
          <w:tcPr>
            <w:tcW w:type="dxa" w:w="71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6</w:t>
            </w:r>
          </w:p>
        </w:tc>
        <w:tc>
          <w:tcPr>
            <w:tcW w:type="dxa" w:w="356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Issues the warning</w:t>
            </w:r>
          </w:p>
        </w:tc>
        <w:tc>
          <w:tcPr>
            <w:tcW w:type="dxa" w:w="5904"/>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CAP 1.2 alert graded Extreme / Immediate / Likely, plus cell-broadcast text in English, Hindi and Marathi — with a warning that the Hindi version costs three segments.</w:t>
            </w:r>
          </w:p>
        </w:tc>
      </w:tr>
      <w:tr>
        <w:trPr>
          <w:cantSplit/>
        </w:trPr>
        <w:tc>
          <w:tcPr>
            <w:tcW w:type="dxa" w:w="71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7</w:t>
            </w:r>
          </w:p>
        </w:tc>
        <w:tc>
          <w:tcPr>
            <w:tcW w:type="dxa" w:w="356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Checks the resident view</w:t>
            </w:r>
          </w:p>
        </w:tc>
        <w:tc>
          <w:tcPr>
            <w:tcW w:type="dxa" w:w="5904"/>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"Flooding is likely in Dhantoli from about 01:00." Nearest hospital, roads to avoid, and what to do, in the reader's own language.</w:t>
            </w:r>
          </w:p>
        </w:tc>
      </w:tr>
    </w:tbl>
    <w:p>
      <w:pPr>
        <w:spacing w:after="70" w:before="0"/>
      </w:pPr>
      <w:r>
        <w:rPr>
          <w:sz w:val="2"/>
          <w:szCs w:val="2"/>
        </w:rPr>
        <w:t xml:space="preserve"/>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0180"/>
      </w:tblGrid>
      <w:tr>
        <w:tc>
          <w:tcPr>
            <w:tcW w:type="dxa" w:w="10180"/>
            <w:tcBorders>
              <w:top w:val="single" w:color="246B4C" w:sz="4"/>
              <w:left w:val="single" w:color="246B4C" w:sz="18"/>
              <w:bottom w:val="single" w:color="246B4C" w:sz="4"/>
              <w:right w:val="single" w:color="246B4C" w:sz="4"/>
            </w:tcBorders>
            <w:shd w:fill="EEF3F8" w:color="auto" w:val="clear"/>
            <w:tcMar>
              <w:top w:type="dxa" w:w="90"/>
              <w:left w:type="dxa" w:w="130"/>
              <w:bottom w:type="dxa" w:w="90"/>
              <w:right w:type="dxa" w:w="130"/>
            </w:tcMar>
          </w:tcPr>
          <w:p>
            <w:pPr>
              <w:spacing w:after="45"/>
            </w:pPr>
            <w:r>
              <w:rPr>
                <w:rFonts w:ascii="Calibri" w:cs="Calibri" w:eastAsia="Calibri" w:hAnsi="Calibri"/>
                <w:b/>
                <w:bCs/>
                <w:color w:val="246B4C"/>
                <w:sz w:val="19"/>
                <w:szCs w:val="19"/>
              </w:rPr>
              <w:t xml:space="preserve">The design intent</w:t>
            </w:r>
          </w:p>
          <w:p>
            <w:pPr>
              <w:spacing w:after="0" w:line="245"/>
            </w:pPr>
            <w:r>
              <w:rPr>
                <w:rFonts w:ascii="Calibri" w:cs="Calibri" w:eastAsia="Calibri" w:hAnsi="Calibri"/>
                <w:color w:val="14181D"/>
                <w:sz w:val="18"/>
                <w:szCs w:val="18"/>
              </w:rPr>
              <w:t xml:space="preserve">Seven steps, one context, no re-entry of information. The operator never types a facility name twice, and every view they pass through can be sent to someone else as a link that reopens exactly that state.</w:t>
            </w:r>
          </w:p>
        </w:tc>
      </w:tr>
    </w:tbl>
    <w:p>
      <w:pPr>
        <w:pStyle w:val="Heading1"/>
        <w:pBdr>
          <w:bottom w:val="single" w:color="1F4E79" w:sz="10" w:space="3"/>
        </w:pBdr>
        <w:spacing w:after="110" w:before="170"/>
      </w:pPr>
      <w:r>
        <w:rPr>
          <w:rFonts w:ascii="Calibri" w:cs="Calibri" w:eastAsia="Calibri" w:hAnsi="Calibri"/>
          <w:b/>
          <w:bCs/>
          <w:color w:val="C9D2DC"/>
          <w:sz w:val="26"/>
          <w:szCs w:val="26"/>
        </w:rPr>
        <w:t xml:space="preserve">11  </w:t>
      </w:r>
      <w:r>
        <w:rPr>
          <w:rFonts w:ascii="Calibri" w:cs="Calibri" w:eastAsia="Calibri" w:hAnsi="Calibri"/>
          <w:b/>
          <w:bCs/>
          <w:color w:val="1F4E79"/>
          <w:sz w:val="26"/>
          <w:szCs w:val="26"/>
        </w:rPr>
        <w:t xml:space="preserve">Evidence: does it actually forecast?</w:t>
      </w:r>
    </w:p>
    <w:p>
      <w:pPr>
        <w:spacing w:after="90" w:before="0" w:line="250"/>
      </w:pPr>
      <w:r>
        <w:rPr>
          <w:rFonts w:ascii="Calibri" w:cs="Calibri" w:eastAsia="Calibri" w:hAnsi="Calibri"/>
          <w:color w:val="14181D"/>
          <w:sz w:val="19"/>
          <w:szCs w:val="19"/>
        </w:rPr>
        <w:t xml:space="preserve">Every scenario is replayed with the future locked away. Each forecast is scored against the scenario's hidden ground truth using the standard operational-meteorology measures.</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425"/>
        <w:gridCol w:w="2850"/>
        <w:gridCol w:w="1018"/>
        <w:gridCol w:w="1629"/>
        <w:gridCol w:w="1120"/>
        <w:gridCol w:w="1120"/>
        <w:gridCol w:w="1018"/>
      </w:tblGrid>
      <w:tr>
        <w:trPr>
          <w:cantSplit/>
          <w:tblHeader/>
        </w:trPr>
        <w:tc>
          <w:tcPr>
            <w:tcW w:type="dxa" w:w="1425"/>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City</w:t>
            </w:r>
          </w:p>
        </w:tc>
        <w:tc>
          <w:tcPr>
            <w:tcW w:type="dxa" w:w="285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Scenario</w:t>
            </w:r>
          </w:p>
        </w:tc>
        <w:tc>
          <w:tcPr>
            <w:tcW w:type="dxa" w:w="1018"/>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Brier</w:t>
            </w:r>
          </w:p>
        </w:tc>
        <w:tc>
          <w:tcPr>
            <w:tcW w:type="dxa" w:w="1629"/>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Skill vs climatology</w:t>
            </w:r>
          </w:p>
        </w:tc>
        <w:tc>
          <w:tcPr>
            <w:tcW w:type="dxa" w:w="112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Detection</w:t>
            </w:r>
          </w:p>
        </w:tc>
        <w:tc>
          <w:tcPr>
            <w:tcW w:type="dxa" w:w="112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False alarms</w:t>
            </w:r>
          </w:p>
        </w:tc>
        <w:tc>
          <w:tcPr>
            <w:tcW w:type="dxa" w:w="1018"/>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Median lead</w:t>
            </w:r>
          </w:p>
        </w:tc>
      </w:tr>
      <w:tr>
        <w:trPr>
          <w:cantSplit/>
        </w:trPr>
        <w:tc>
          <w:tcPr>
            <w:tcW w:type="dxa" w:w="142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Nagpur</w:t>
            </w:r>
          </w:p>
        </w:tc>
        <w:tc>
          <w:tcPr>
            <w:tcW w:type="dxa" w:w="285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Monsoon cloudburst · 23 Sep 2023</w:t>
            </w:r>
          </w:p>
        </w:tc>
        <w:tc>
          <w:tcPr>
            <w:tcW w:type="dxa" w:w="101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0.040</w:t>
            </w:r>
          </w:p>
        </w:tc>
        <w:tc>
          <w:tcPr>
            <w:tcW w:type="dxa" w:w="162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+0.81</w:t>
            </w:r>
          </w:p>
        </w:tc>
        <w:tc>
          <w:tcPr>
            <w:tcW w:type="dxa" w:w="112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85%</w:t>
            </w:r>
          </w:p>
        </w:tc>
        <w:tc>
          <w:tcPr>
            <w:tcW w:type="dxa" w:w="112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w:t>
            </w:r>
          </w:p>
        </w:tc>
        <w:tc>
          <w:tcPr>
            <w:tcW w:type="dxa" w:w="101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22.5 h</w:t>
            </w:r>
          </w:p>
        </w:tc>
      </w:tr>
      <w:tr>
        <w:trPr>
          <w:cantSplit/>
        </w:trPr>
        <w:tc>
          <w:tcPr>
            <w:tcW w:type="dxa" w:w="142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Nagpur</w:t>
            </w:r>
          </w:p>
        </w:tc>
        <w:tc>
          <w:tcPr>
            <w:tcW w:type="dxa" w:w="285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Tropical remnant rainfall</w:t>
            </w:r>
          </w:p>
        </w:tc>
        <w:tc>
          <w:tcPr>
            <w:tcW w:type="dxa" w:w="101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0.060</w:t>
            </w:r>
          </w:p>
        </w:tc>
        <w:tc>
          <w:tcPr>
            <w:tcW w:type="dxa" w:w="162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+0.74</w:t>
            </w:r>
          </w:p>
        </w:tc>
        <w:tc>
          <w:tcPr>
            <w:tcW w:type="dxa" w:w="112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96%</w:t>
            </w:r>
          </w:p>
        </w:tc>
        <w:tc>
          <w:tcPr>
            <w:tcW w:type="dxa" w:w="112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13%</w:t>
            </w:r>
          </w:p>
        </w:tc>
        <w:tc>
          <w:tcPr>
            <w:tcW w:type="dxa" w:w="101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20.5 h</w:t>
            </w:r>
          </w:p>
        </w:tc>
      </w:tr>
      <w:tr>
        <w:trPr>
          <w:cantSplit/>
        </w:trPr>
        <w:tc>
          <w:tcPr>
            <w:tcW w:type="dxa" w:w="142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Nagpur</w:t>
            </w:r>
          </w:p>
        </w:tc>
        <w:tc>
          <w:tcPr>
            <w:tcW w:type="dxa" w:w="285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Heat wave and grid stress</w:t>
            </w:r>
          </w:p>
        </w:tc>
        <w:tc>
          <w:tcPr>
            <w:tcW w:type="dxa" w:w="101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0.023</w:t>
            </w:r>
          </w:p>
        </w:tc>
        <w:tc>
          <w:tcPr>
            <w:tcW w:type="dxa" w:w="162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+0.80</w:t>
            </w:r>
          </w:p>
        </w:tc>
        <w:tc>
          <w:tcPr>
            <w:tcW w:type="dxa" w:w="112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94%</w:t>
            </w:r>
          </w:p>
        </w:tc>
        <w:tc>
          <w:tcPr>
            <w:tcW w:type="dxa" w:w="112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w:t>
            </w:r>
          </w:p>
        </w:tc>
        <w:tc>
          <w:tcPr>
            <w:tcW w:type="dxa" w:w="101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18.5 h</w:t>
            </w:r>
          </w:p>
        </w:tc>
      </w:tr>
      <w:tr>
        <w:trPr>
          <w:cantSplit/>
        </w:trPr>
        <w:tc>
          <w:tcPr>
            <w:tcW w:type="dxa" w:w="142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Nagpur</w:t>
            </w:r>
          </w:p>
        </w:tc>
        <w:tc>
          <w:tcPr>
            <w:tcW w:type="dxa" w:w="285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Grid fault and telecom blackout</w:t>
            </w:r>
          </w:p>
        </w:tc>
        <w:tc>
          <w:tcPr>
            <w:tcW w:type="dxa" w:w="101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0.017</w:t>
            </w:r>
          </w:p>
        </w:tc>
        <w:tc>
          <w:tcPr>
            <w:tcW w:type="dxa" w:w="162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+0.68</w:t>
            </w:r>
          </w:p>
        </w:tc>
        <w:tc>
          <w:tcPr>
            <w:tcW w:type="dxa" w:w="112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50%</w:t>
            </w:r>
          </w:p>
        </w:tc>
        <w:tc>
          <w:tcPr>
            <w:tcW w:type="dxa" w:w="112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w:t>
            </w:r>
          </w:p>
        </w:tc>
        <w:tc>
          <w:tcPr>
            <w:tcW w:type="dxa" w:w="101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21.5 h</w:t>
            </w:r>
          </w:p>
        </w:tc>
      </w:tr>
      <w:tr>
        <w:trPr>
          <w:cantSplit/>
        </w:trPr>
        <w:tc>
          <w:tcPr>
            <w:tcW w:type="dxa" w:w="142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Raleigh</w:t>
            </w:r>
          </w:p>
        </w:tc>
        <w:tc>
          <w:tcPr>
            <w:tcW w:type="dxa" w:w="285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Tropical remnant rainfall</w:t>
            </w:r>
          </w:p>
        </w:tc>
        <w:tc>
          <w:tcPr>
            <w:tcW w:type="dxa" w:w="101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0.076</w:t>
            </w:r>
          </w:p>
        </w:tc>
        <w:tc>
          <w:tcPr>
            <w:tcW w:type="dxa" w:w="162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+0.59</w:t>
            </w:r>
          </w:p>
        </w:tc>
        <w:tc>
          <w:tcPr>
            <w:tcW w:type="dxa" w:w="112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82%</w:t>
            </w:r>
          </w:p>
        </w:tc>
        <w:tc>
          <w:tcPr>
            <w:tcW w:type="dxa" w:w="112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25%</w:t>
            </w:r>
          </w:p>
        </w:tc>
        <w:tc>
          <w:tcPr>
            <w:tcW w:type="dxa" w:w="101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19.0 h</w:t>
            </w:r>
          </w:p>
        </w:tc>
      </w:tr>
      <w:tr>
        <w:trPr>
          <w:cantSplit/>
        </w:trPr>
        <w:tc>
          <w:tcPr>
            <w:tcW w:type="dxa" w:w="142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Raleigh</w:t>
            </w:r>
          </w:p>
        </w:tc>
        <w:tc>
          <w:tcPr>
            <w:tcW w:type="dxa" w:w="285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Convective flash flood</w:t>
            </w:r>
          </w:p>
        </w:tc>
        <w:tc>
          <w:tcPr>
            <w:tcW w:type="dxa" w:w="101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0.070</w:t>
            </w:r>
          </w:p>
        </w:tc>
        <w:tc>
          <w:tcPr>
            <w:tcW w:type="dxa" w:w="162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+0.63</w:t>
            </w:r>
          </w:p>
        </w:tc>
        <w:tc>
          <w:tcPr>
            <w:tcW w:type="dxa" w:w="112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77%</w:t>
            </w:r>
          </w:p>
        </w:tc>
        <w:tc>
          <w:tcPr>
            <w:tcW w:type="dxa" w:w="112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5%</w:t>
            </w:r>
          </w:p>
        </w:tc>
        <w:tc>
          <w:tcPr>
            <w:tcW w:type="dxa" w:w="101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16.5 h</w:t>
            </w:r>
          </w:p>
        </w:tc>
      </w:tr>
      <w:tr>
        <w:trPr>
          <w:cantSplit/>
        </w:trPr>
        <w:tc>
          <w:tcPr>
            <w:tcW w:type="dxa" w:w="142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Raleigh</w:t>
            </w:r>
          </w:p>
        </w:tc>
        <w:tc>
          <w:tcPr>
            <w:tcW w:type="dxa" w:w="285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Heat wave and grid stress</w:t>
            </w:r>
          </w:p>
        </w:tc>
        <w:tc>
          <w:tcPr>
            <w:tcW w:type="dxa" w:w="101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0.019</w:t>
            </w:r>
          </w:p>
        </w:tc>
        <w:tc>
          <w:tcPr>
            <w:tcW w:type="dxa" w:w="162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+0.81</w:t>
            </w:r>
          </w:p>
        </w:tc>
        <w:tc>
          <w:tcPr>
            <w:tcW w:type="dxa" w:w="112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77%</w:t>
            </w:r>
          </w:p>
        </w:tc>
        <w:tc>
          <w:tcPr>
            <w:tcW w:type="dxa" w:w="112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w:t>
            </w:r>
          </w:p>
        </w:tc>
        <w:tc>
          <w:tcPr>
            <w:tcW w:type="dxa" w:w="101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23.0 h</w:t>
            </w:r>
          </w:p>
        </w:tc>
      </w:tr>
    </w:tbl>
    <w:p>
      <w:pPr>
        <w:spacing w:after="70" w:before="0"/>
      </w:pPr>
      <w:r>
        <w:rPr>
          <w:sz w:val="2"/>
          <w:szCs w:val="2"/>
        </w:rPr>
        <w:t xml:space="preserve"/>
      </w:r>
    </w:p>
    <w:p>
      <w:pPr>
        <w:spacing w:after="90" w:before="0" w:line="250"/>
      </w:pPr>
      <w:r>
        <w:rPr>
          <w:rFonts w:ascii="Calibri" w:cs="Calibri" w:eastAsia="Calibri" w:hAnsi="Calibri"/>
          <w:color w:val="14181D"/>
          <w:sz w:val="19"/>
          <w:szCs w:val="19"/>
        </w:rPr>
        <w:t xml:space="preserve">Warning rule: raise an alarm when P(critical within 24 h) reaches 60%. </w:t>
      </w:r>
      <w:r>
        <w:rPr>
          <w:rFonts w:ascii="Calibri" w:cs="Calibri" w:eastAsia="Calibri" w:hAnsi="Calibri"/>
          <w:b/>
          <w:bCs/>
          <w:color w:val="14181D"/>
          <w:sz w:val="19"/>
          <w:szCs w:val="19"/>
        </w:rPr>
        <w:t xml:space="preserve">Median lead across scenarios is 16–23 hours</w:t>
      </w:r>
      <w:r>
        <w:rPr>
          <w:rFonts w:ascii="Calibri" w:cs="Calibri" w:eastAsia="Calibri" w:hAnsi="Calibri"/>
          <w:color w:val="14181D"/>
          <w:sz w:val="19"/>
          <w:szCs w:val="19"/>
        </w:rPr>
        <w:t xml:space="preserve"> — inside the 72-hour window the brief asks for, and long enough to matter operationally.</w:t>
      </w:r>
    </w:p>
    <w:p>
      <w:pPr>
        <w:pStyle w:val="Heading2"/>
        <w:spacing w:after="65" w:before="130"/>
      </w:pPr>
      <w:r>
        <w:rPr>
          <w:rFonts w:ascii="Calibri" w:cs="Calibri" w:eastAsia="Calibri" w:hAnsi="Calibri"/>
          <w:b/>
          <w:bCs/>
          <w:color w:val="14181D"/>
          <w:sz w:val="21"/>
          <w:szCs w:val="21"/>
        </w:rPr>
        <w:t xml:space="preserve">What we tested that is harder than the headline</w:t>
      </w:r>
    </w:p>
    <w:tbl>
      <w:tblPr>
        <w:tblW w:type="dxa" w:w="10180"/>
        <w:tblBorders>
          <w:top w:val="none"/>
          <w:left w:val="none"/>
          <w:bottom w:val="none"/>
          <w:right w:val="none"/>
          <w:insideH w:val="single" w:color="auto" w:sz="4"/>
          <w:insideV w:val="single" w:color="auto" w:sz="4"/>
        </w:tblBorders>
      </w:tblPr>
      <w:tblGrid>
        <w:gridCol w:w="5090"/>
        <w:gridCol w:w="5090"/>
      </w:tblGrid>
      <w:tr>
        <w:tc>
          <w:tcPr>
            <w:tcW w:type="dxa" w:w="5090"/>
            <w:tcBorders>
              <w:top w:val="none"/>
              <w:left w:val="none"/>
              <w:bottom w:val="none"/>
              <w:right w:val="none"/>
            </w:tcBorders>
            <w:tcMar>
              <w:top w:type="dxa" w:w="0"/>
              <w:left w:type="dxa" w:w="0"/>
              <w:bottom w:type="dxa" w:w="0"/>
              <w:right w:type="dxa" w:w="150"/>
            </w:tcMar>
          </w:tcPr>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Planted fake links.</w:t>
            </w:r>
            <w:r>
              <w:rPr>
                <w:rFonts w:ascii="Calibri" w:cs="Calibri" w:eastAsia="Calibri" w:hAnsi="Calibri"/>
                <w:color w:val="14181D"/>
                <w:sz w:val="19"/>
                <w:szCs w:val="19"/>
              </w:rPr>
              <w:t xml:space="preserve"> 7 of the candidate links in each city do not exist. The learner prunes them; by T+72 on the Raleigh tropical run, 32 links are confirmed and 12 pruned.</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Injected sensor faults.</w:t>
            </w:r>
            <w:r>
              <w:rPr>
                <w:rFonts w:ascii="Calibri" w:cs="Calibri" w:eastAsia="Calibri" w:hAnsi="Calibri"/>
                <w:color w:val="14181D"/>
                <w:sz w:val="19"/>
                <w:szCs w:val="19"/>
              </w:rPr>
              <w:t xml:space="preserve"> A frozen gauge, an offline camera and a biased rain gauge are planted in every run and are flagged with no false positives.</w:t>
            </w:r>
          </w:p>
        </w:tc>
        <w:tc>
          <w:tcPr>
            <w:tcW w:type="dxa" w:w="5090"/>
            <w:tcBorders>
              <w:top w:val="none"/>
              <w:left w:val="none"/>
              <w:bottom w:val="none"/>
              <w:right w:val="none"/>
            </w:tcBorders>
            <w:tcMar>
              <w:top w:type="dxa" w:w="0"/>
              <w:left w:type="dxa" w:w="0"/>
              <w:bottom w:type="dxa" w:w="0"/>
              <w:right w:type="dxa" w:w="150"/>
            </w:tcMar>
          </w:tcPr>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False citizen reports.</w:t>
            </w:r>
            <w:r>
              <w:rPr>
                <w:rFonts w:ascii="Calibri" w:cs="Calibri" w:eastAsia="Calibri" w:hAnsi="Calibri"/>
                <w:color w:val="14181D"/>
                <w:sz w:val="19"/>
                <w:szCs w:val="19"/>
              </w:rPr>
              <w:t xml:space="preserve"> Planted reports score 12–16% corroboration; genuine ones score 84–96%.</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An unseen city.</w:t>
            </w:r>
            <w:r>
              <w:rPr>
                <w:rFonts w:ascii="Calibri" w:cs="Calibri" w:eastAsia="Calibri" w:hAnsi="Calibri"/>
                <w:color w:val="14181D"/>
                <w:sz w:val="19"/>
                <w:szCs w:val="19"/>
              </w:rPr>
              <w:t xml:space="preserve"> Raleigh runs on the same engine with no retuning — the generalisation test the brief asks for.</w:t>
            </w:r>
          </w:p>
        </w:tc>
      </w:tr>
    </w:tbl>
    <w:p>
      <w:pPr>
        <w:spacing w:after="60" w:before="0"/>
      </w:pPr>
      <w:r>
        <w:rPr>
          <w:sz w:val="2"/>
          <w:szCs w:val="2"/>
        </w:rPr>
        <w:t xml:space="preserve"/>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0180"/>
      </w:tblGrid>
      <w:tr>
        <w:tc>
          <w:tcPr>
            <w:tcW w:type="dxa" w:w="10180"/>
            <w:tcBorders>
              <w:top w:val="single" w:color="8A6A12" w:sz="4"/>
              <w:left w:val="single" w:color="8A6A12" w:sz="18"/>
              <w:bottom w:val="single" w:color="8A6A12" w:sz="4"/>
              <w:right w:val="single" w:color="8A6A12" w:sz="4"/>
            </w:tcBorders>
            <w:shd w:fill="EEF3F8" w:color="auto" w:val="clear"/>
            <w:tcMar>
              <w:top w:type="dxa" w:w="90"/>
              <w:left w:type="dxa" w:w="130"/>
              <w:bottom w:type="dxa" w:w="90"/>
              <w:right w:type="dxa" w:w="130"/>
            </w:tcMar>
          </w:tcPr>
          <w:p>
            <w:pPr>
              <w:spacing w:after="45"/>
            </w:pPr>
            <w:r>
              <w:rPr>
                <w:rFonts w:ascii="Calibri" w:cs="Calibri" w:eastAsia="Calibri" w:hAnsi="Calibri"/>
                <w:b/>
                <w:bCs/>
                <w:color w:val="8A6A12"/>
                <w:sz w:val="19"/>
                <w:szCs w:val="19"/>
              </w:rPr>
              <w:t xml:space="preserve">Stated honestly</w:t>
            </w:r>
          </w:p>
          <w:p>
            <w:pPr>
              <w:spacing w:after="0" w:line="245"/>
            </w:pPr>
            <w:r>
              <w:rPr>
                <w:rFonts w:ascii="Calibri" w:cs="Calibri" w:eastAsia="Calibri" w:hAnsi="Calibri"/>
                <w:color w:val="14181D"/>
                <w:sz w:val="18"/>
                <w:szCs w:val="18"/>
              </w:rPr>
              <w:t xml:space="preserve">These numbers come from a synthetic ground truth generated by the same family of models as the forecast. They show the pipeline works end to end and is genuinely isolated from future data. They are </w:t>
            </w:r>
            <w:r>
              <w:rPr>
                <w:rFonts w:ascii="Calibri" w:cs="Calibri" w:eastAsia="Calibri" w:hAnsi="Calibri"/>
                <w:b/>
                <w:bCs/>
                <w:color w:val="14181D"/>
                <w:sz w:val="18"/>
                <w:szCs w:val="18"/>
              </w:rPr>
              <w:t xml:space="preserve">not</w:t>
            </w:r>
            <w:r>
              <w:rPr>
                <w:rFonts w:ascii="Calibri" w:cs="Calibri" w:eastAsia="Calibri" w:hAnsi="Calibri"/>
                <w:color w:val="14181D"/>
                <w:sz w:val="18"/>
                <w:szCs w:val="18"/>
              </w:rPr>
              <w:t xml:space="preserve"> evidence of real-world skill, and we do not present them as such. Our own analysis also finds the ensemble is over-dispersed — an 80% band covers 92% of outcomes — so the system is currently under-confident rather than over-confident.</w:t>
            </w:r>
          </w:p>
        </w:tc>
      </w:tr>
    </w:tbl>
    <w:p>
      <w:pPr>
        <w:pStyle w:val="Heading1"/>
        <w:pBdr>
          <w:bottom w:val="single" w:color="1F4E79" w:sz="10" w:space="3"/>
        </w:pBdr>
        <w:spacing w:after="110" w:before="170"/>
      </w:pPr>
      <w:r>
        <w:rPr>
          <w:rFonts w:ascii="Calibri" w:cs="Calibri" w:eastAsia="Calibri" w:hAnsi="Calibri"/>
          <w:b/>
          <w:bCs/>
          <w:color w:val="C9D2DC"/>
          <w:sz w:val="26"/>
          <w:szCs w:val="26"/>
        </w:rPr>
        <w:t xml:space="preserve">12  </w:t>
      </w:r>
      <w:r>
        <w:rPr>
          <w:rFonts w:ascii="Calibri" w:cs="Calibri" w:eastAsia="Calibri" w:hAnsi="Calibri"/>
          <w:b/>
          <w:bCs/>
          <w:color w:val="1F4E79"/>
          <w:sz w:val="26"/>
          <w:szCs w:val="26"/>
        </w:rPr>
        <w:t xml:space="preserve">Impact</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036"/>
        <w:gridCol w:w="4683"/>
        <w:gridCol w:w="3461"/>
      </w:tblGrid>
      <w:tr>
        <w:trPr>
          <w:cantSplit/>
          <w:tblHeader/>
        </w:trPr>
        <w:tc>
          <w:tcPr>
            <w:tcW w:type="dxa" w:w="2036"/>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7"/>
                <w:szCs w:val="17"/>
              </w:rPr>
              <w:t xml:space="preserve">Where</w:t>
            </w:r>
          </w:p>
        </w:tc>
        <w:tc>
          <w:tcPr>
            <w:tcW w:type="dxa" w:w="4683"/>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7"/>
                <w:szCs w:val="17"/>
              </w:rPr>
              <w:t xml:space="preserve">Mechanism</w:t>
            </w:r>
          </w:p>
        </w:tc>
        <w:tc>
          <w:tcPr>
            <w:tcW w:type="dxa" w:w="3461"/>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7"/>
                <w:szCs w:val="17"/>
              </w:rPr>
              <w:t xml:space="preserve">Measurable as</w:t>
            </w:r>
          </w:p>
        </w:tc>
      </w:tr>
      <w:tr>
        <w:trPr>
          <w:cantSplit/>
        </w:trPr>
        <w:tc>
          <w:tcPr>
            <w:tcW w:type="dxa" w:w="203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Lives and injuries</w:t>
            </w:r>
          </w:p>
        </w:tc>
        <w:tc>
          <w:tcPr>
            <w:tcW w:type="dxa" w:w="468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A 16–23 hour lead on hospital and EMS failure allows pre-staging and diversion before the corridor closes rather than after.</w:t>
            </w:r>
          </w:p>
        </w:tc>
        <w:tc>
          <w:tcPr>
            <w:tcW w:type="dxa" w:w="346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Ambulance response time during events; diversion hours</w:t>
            </w:r>
          </w:p>
        </w:tc>
      </w:tr>
      <w:tr>
        <w:trPr>
          <w:cantSplit/>
        </w:trPr>
        <w:tc>
          <w:tcPr>
            <w:tcW w:type="dxa" w:w="203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Continuity of care</w:t>
            </w:r>
          </w:p>
        </w:tc>
        <w:tc>
          <w:tcPr>
            <w:tcW w:type="dxa" w:w="468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Power-to-hospital and telecom-to-dispatch links are forecast, so diesel and batteries move before they are needed.</w:t>
            </w:r>
          </w:p>
        </w:tc>
        <w:tc>
          <w:tcPr>
            <w:tcW w:type="dxa" w:w="3461"/>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Generator-start lead time; call-completion rate</w:t>
            </w:r>
          </w:p>
        </w:tc>
      </w:tr>
      <w:tr>
        <w:trPr>
          <w:cantSplit/>
        </w:trPr>
        <w:tc>
          <w:tcPr>
            <w:tcW w:type="dxa" w:w="203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Economic loss</w:t>
            </w:r>
          </w:p>
        </w:tc>
        <w:tc>
          <w:tcPr>
            <w:tcW w:type="dxa" w:w="468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Closing one junction early, on evidence, instead of five late.</w:t>
            </w:r>
          </w:p>
        </w:tc>
        <w:tc>
          <w:tcPr>
            <w:tcW w:type="dxa" w:w="346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Critical facility-hours — the prototype shows 13–29% reductions</w:t>
            </w:r>
          </w:p>
        </w:tc>
      </w:tr>
      <w:tr>
        <w:trPr>
          <w:cantSplit/>
        </w:trPr>
        <w:tc>
          <w:tcPr>
            <w:tcW w:type="dxa" w:w="203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Public reach</w:t>
            </w:r>
          </w:p>
        </w:tc>
        <w:tc>
          <w:tcPr>
            <w:tcW w:type="dxa" w:w="468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Warnings that name a district, an hour and an action, in the reader's own language, correctly encoded.</w:t>
            </w:r>
          </w:p>
        </w:tc>
        <w:tc>
          <w:tcPr>
            <w:tcW w:type="dxa" w:w="3461"/>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Delivery rate; message truncation rate</w:t>
            </w:r>
          </w:p>
        </w:tc>
      </w:tr>
      <w:tr>
        <w:trPr>
          <w:cantSplit/>
        </w:trPr>
        <w:tc>
          <w:tcPr>
            <w:tcW w:type="dxa" w:w="203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Institutional learning</w:t>
            </w:r>
          </w:p>
        </w:tc>
        <w:tc>
          <w:tcPr>
            <w:tcW w:type="dxa" w:w="468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Every forecast is scored against what happened. The city accumulates a verification record instead of anecdotes.</w:t>
            </w:r>
          </w:p>
        </w:tc>
        <w:tc>
          <w:tcPr>
            <w:tcW w:type="dxa" w:w="346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Brier and lead time, tracked season on season</w:t>
            </w:r>
          </w:p>
        </w:tc>
      </w:tr>
    </w:tbl>
    <w:p>
      <w:pPr>
        <w:spacing w:after="8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Scale of the addressable problem</w:t>
      </w:r>
    </w:p>
    <w:p>
      <w:pPr>
        <w:spacing w:after="90" w:before="0" w:line="250"/>
      </w:pPr>
      <w:r>
        <w:rPr>
          <w:rFonts w:ascii="Calibri" w:cs="Calibri" w:eastAsia="Calibri" w:hAnsi="Calibri"/>
          <w:color w:val="14181D"/>
          <w:sz w:val="19"/>
          <w:szCs w:val="19"/>
        </w:rPr>
        <w:t xml:space="preserve">Nagpur alone has about </w:t>
      </w:r>
      <w:r>
        <w:rPr>
          <w:rFonts w:ascii="Calibri" w:cs="Calibri" w:eastAsia="Calibri" w:hAnsi="Calibri"/>
          <w:b/>
          <w:bCs/>
          <w:color w:val="14181D"/>
          <w:sz w:val="19"/>
          <w:szCs w:val="19"/>
        </w:rPr>
        <w:t xml:space="preserve">2.9 million residents</w:t>
      </w:r>
      <w:r>
        <w:rPr>
          <w:rFonts w:ascii="Calibri" w:cs="Calibri" w:eastAsia="Calibri" w:hAnsi="Calibri"/>
          <w:color w:val="14181D"/>
          <w:sz w:val="19"/>
          <w:szCs w:val="19"/>
        </w:rPr>
        <w:t xml:space="preserve"> across the modeled grid, with </w:t>
      </w:r>
      <w:r>
        <w:rPr>
          <w:rFonts w:ascii="Calibri" w:cs="Calibri" w:eastAsia="Calibri" w:hAnsi="Calibri"/>
          <w:b/>
          <w:bCs/>
          <w:color w:val="14181D"/>
          <w:sz w:val="19"/>
          <w:szCs w:val="19"/>
        </w:rPr>
        <w:t xml:space="preserve">57 monitored assets</w:t>
      </w:r>
      <w:r>
        <w:rPr>
          <w:rFonts w:ascii="Calibri" w:cs="Calibri" w:eastAsia="Calibri" w:hAnsi="Calibri"/>
          <w:color w:val="14181D"/>
          <w:sz w:val="19"/>
          <w:szCs w:val="19"/>
        </w:rPr>
        <w:t xml:space="preserve"> in the prototype. India has more than 50 cities above a million people, most with an Integrated Command and Control Centre already collecting the feeds this system consumes. The data largely exists; the joining layer does not.</w:t>
      </w:r>
    </w:p>
    <w:p>
      <w:pPr>
        <w:spacing w:after="60" w:before="0"/>
      </w:pPr>
      <w:r>
        <w:rPr>
          <w:sz w:val="2"/>
          <w:szCs w:val="2"/>
        </w:rPr>
        <w:t xml:space="preserve"/>
      </w:r>
    </w:p>
    <w:p>
      <w:pPr>
        <w:pStyle w:val="Heading1"/>
        <w:pBdr>
          <w:bottom w:val="single" w:color="1F4E79" w:sz="10" w:space="3"/>
        </w:pBdr>
        <w:spacing w:after="110" w:before="170"/>
      </w:pPr>
      <w:r>
        <w:rPr>
          <w:rFonts w:ascii="Calibri" w:cs="Calibri" w:eastAsia="Calibri" w:hAnsi="Calibri"/>
          <w:b/>
          <w:bCs/>
          <w:color w:val="C9D2DC"/>
          <w:sz w:val="26"/>
          <w:szCs w:val="26"/>
        </w:rPr>
        <w:t xml:space="preserve">13  </w:t>
      </w:r>
      <w:r>
        <w:rPr>
          <w:rFonts w:ascii="Calibri" w:cs="Calibri" w:eastAsia="Calibri" w:hAnsi="Calibri"/>
          <w:b/>
          <w:bCs/>
          <w:color w:val="1F4E79"/>
          <w:sz w:val="26"/>
          <w:szCs w:val="26"/>
        </w:rPr>
        <w:t xml:space="preserve">Feasibility and viability</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731"/>
        <w:gridCol w:w="4886"/>
        <w:gridCol w:w="3563"/>
      </w:tblGrid>
      <w:tr>
        <w:trPr>
          <w:cantSplit/>
          <w:tblHeader/>
        </w:trPr>
        <w:tc>
          <w:tcPr>
            <w:tcW w:type="dxa" w:w="1731"/>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Dimension</w:t>
            </w:r>
          </w:p>
        </w:tc>
        <w:tc>
          <w:tcPr>
            <w:tcW w:type="dxa" w:w="4886"/>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Assessment</w:t>
            </w:r>
          </w:p>
        </w:tc>
        <w:tc>
          <w:tcPr>
            <w:tcW w:type="dxa" w:w="3563"/>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Evidence / what it needs</w:t>
            </w:r>
          </w:p>
        </w:tc>
      </w:tr>
      <w:tr>
        <w:trPr>
          <w:cantSplit/>
        </w:trPr>
        <w:tc>
          <w:tcPr>
            <w:tcW w:type="dxa" w:w="173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Technical — built</w:t>
            </w:r>
          </w:p>
        </w:tc>
        <w:tc>
          <w:tcPr>
            <w:tcW w:type="dxa" w:w="488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Proven. Seven scenarios, two cities, full replay validation, 31 automated checks.</w:t>
            </w:r>
          </w:p>
        </w:tc>
        <w:tc>
          <w:tcPr>
            <w:tcW w:type="dxa" w:w="356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Working prototype, open to inspection</w:t>
            </w:r>
          </w:p>
        </w:tc>
      </w:tr>
      <w:tr>
        <w:trPr>
          <w:cantSplit/>
        </w:trPr>
        <w:tc>
          <w:tcPr>
            <w:tcW w:type="dxa" w:w="1731"/>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Technical — live data</w:t>
            </w:r>
          </w:p>
        </w:tc>
        <w:tc>
          <w:tcPr>
            <w:tcW w:type="dxa" w:w="488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Moderate. The engine needs one normalised value per facility per half hour; connectors are adapters, not model changes.</w:t>
            </w:r>
          </w:p>
        </w:tc>
        <w:tc>
          <w:tcPr>
            <w:tcW w:type="dxa" w:w="356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3–6 months per city for the first integrations</w:t>
            </w:r>
          </w:p>
        </w:tc>
      </w:tr>
      <w:tr>
        <w:trPr>
          <w:cantSplit/>
        </w:trPr>
        <w:tc>
          <w:tcPr>
            <w:tcW w:type="dxa" w:w="173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Technical — scale</w:t>
            </w:r>
          </w:p>
        </w:tc>
        <w:tc>
          <w:tcPr>
            <w:tcW w:type="dxa" w:w="488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Constrained. Browser-side state caps at roughly 200–300 facilities; beyond that the engine moves server-side.</w:t>
            </w:r>
          </w:p>
        </w:tc>
        <w:tc>
          <w:tcPr>
            <w:tcW w:type="dxa" w:w="356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Known and measured, not discovered late</w:t>
            </w:r>
          </w:p>
        </w:tc>
      </w:tr>
      <w:tr>
        <w:trPr>
          <w:cantSplit/>
        </w:trPr>
        <w:tc>
          <w:tcPr>
            <w:tcW w:type="dxa" w:w="1731"/>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Data access</w:t>
            </w:r>
          </w:p>
        </w:tc>
        <w:tc>
          <w:tcPr>
            <w:tcW w:type="dxa" w:w="488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real risk. Rainfall and traffic are obtainable; hospital HMIS and telecom site data need institutional agreements.</w:t>
            </w:r>
          </w:p>
        </w:tc>
        <w:tc>
          <w:tcPr>
            <w:tcW w:type="dxa" w:w="356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MoUs with the municipal corporation, utility and health department</w:t>
            </w:r>
          </w:p>
        </w:tc>
      </w:tr>
      <w:tr>
        <w:trPr>
          <w:cantSplit/>
        </w:trPr>
        <w:tc>
          <w:tcPr>
            <w:tcW w:type="dxa" w:w="173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Organisational</w:t>
            </w:r>
          </w:p>
        </w:tc>
        <w:tc>
          <w:tcPr>
            <w:tcW w:type="dxa" w:w="488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Moderate. It must sit inside an existing EOC workflow, not beside it. Shift handover and logging are the missing pieces.</w:t>
            </w:r>
          </w:p>
        </w:tc>
        <w:tc>
          <w:tcPr>
            <w:tcW w:type="dxa" w:w="356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Pilot embedded with a duty roster, not a demo</w:t>
            </w:r>
          </w:p>
        </w:tc>
      </w:tr>
      <w:tr>
        <w:trPr>
          <w:cantSplit/>
        </w:trPr>
        <w:tc>
          <w:tcPr>
            <w:tcW w:type="dxa" w:w="1731"/>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Cost</w:t>
            </w:r>
          </w:p>
        </w:tc>
        <w:tc>
          <w:tcPr>
            <w:tcW w:type="dxa" w:w="488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Low to run. Static hosting; no per-seat licence; no GPU. Cost is integration effort, not infrastructure.</w:t>
            </w:r>
          </w:p>
        </w:tc>
        <w:tc>
          <w:tcPr>
            <w:tcW w:type="dxa" w:w="356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Prototype hosts for effectively nothing today</w:t>
            </w:r>
          </w:p>
        </w:tc>
      </w:tr>
      <w:tr>
        <w:trPr>
          <w:cantSplit/>
        </w:trPr>
        <w:tc>
          <w:tcPr>
            <w:tcW w:type="dxa" w:w="173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Regulatory</w:t>
            </w:r>
          </w:p>
        </w:tc>
        <w:tc>
          <w:tcPr>
            <w:tcW w:type="dxa" w:w="488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Light for decision support. Becomes significant if it drives public alerting directly.</w:t>
            </w:r>
          </w:p>
        </w:tc>
        <w:tc>
          <w:tcPr>
            <w:tcW w:type="dxa" w:w="356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CAP output is marked EXERCISE until certified</w:t>
            </w:r>
          </w:p>
        </w:tc>
      </w:tr>
    </w:tbl>
    <w:p>
      <w:pPr>
        <w:spacing w:after="80" w:before="0"/>
      </w:pPr>
      <w:r>
        <w:rPr>
          <w:sz w:val="2"/>
          <w:szCs w:val="2"/>
        </w:rPr>
        <w:t xml:space="preserve"/>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0180"/>
      </w:tblGrid>
      <w:tr>
        <w:tc>
          <w:tcPr>
            <w:tcW w:type="dxa" w:w="10180"/>
            <w:tcBorders>
              <w:top w:val="single" w:color="8A6A12" w:sz="4"/>
              <w:left w:val="single" w:color="8A6A12" w:sz="18"/>
              <w:bottom w:val="single" w:color="8A6A12" w:sz="4"/>
              <w:right w:val="single" w:color="8A6A12" w:sz="4"/>
            </w:tcBorders>
            <w:shd w:fill="EEF3F8" w:color="auto" w:val="clear"/>
            <w:tcMar>
              <w:top w:type="dxa" w:w="90"/>
              <w:left w:type="dxa" w:w="130"/>
              <w:bottom w:type="dxa" w:w="90"/>
              <w:right w:type="dxa" w:w="130"/>
            </w:tcMar>
          </w:tcPr>
          <w:p>
            <w:pPr>
              <w:spacing w:after="45"/>
            </w:pPr>
            <w:r>
              <w:rPr>
                <w:rFonts w:ascii="Calibri" w:cs="Calibri" w:eastAsia="Calibri" w:hAnsi="Calibri"/>
                <w:b/>
                <w:bCs/>
                <w:color w:val="8A6A12"/>
                <w:sz w:val="19"/>
                <w:szCs w:val="19"/>
              </w:rPr>
              <w:t xml:space="preserve">The honest critical path</w:t>
            </w:r>
          </w:p>
          <w:p>
            <w:pPr>
              <w:spacing w:after="0" w:line="245"/>
            </w:pPr>
            <w:r>
              <w:rPr>
                <w:rFonts w:ascii="Calibri" w:cs="Calibri" w:eastAsia="Calibri" w:hAnsi="Calibri"/>
                <w:color w:val="14181D"/>
                <w:sz w:val="18"/>
                <w:szCs w:val="18"/>
              </w:rPr>
              <w:t xml:space="preserve">The hard part is not the model. It is </w:t>
            </w:r>
            <w:r>
              <w:rPr>
                <w:rFonts w:ascii="Calibri" w:cs="Calibri" w:eastAsia="Calibri" w:hAnsi="Calibri"/>
                <w:b/>
                <w:bCs/>
                <w:color w:val="14181D"/>
                <w:sz w:val="18"/>
                <w:szCs w:val="18"/>
              </w:rPr>
              <w:t xml:space="preserve">hospital and telecom data access</w:t>
            </w:r>
            <w:r>
              <w:rPr>
                <w:rFonts w:ascii="Calibri" w:cs="Calibri" w:eastAsia="Calibri" w:hAnsi="Calibri"/>
                <w:color w:val="14181D"/>
                <w:sz w:val="18"/>
                <w:szCs w:val="18"/>
              </w:rPr>
              <w:t xml:space="preserve">, and embedding the tool in a shift workflow. Everything upstream of those two is built and measured.</w:t>
            </w:r>
          </w:p>
        </w:tc>
      </w:tr>
    </w:tbl>
    <w:p>
      <w:pPr>
        <w:spacing w:after="8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Risk register</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443"/>
        <w:gridCol w:w="1120"/>
        <w:gridCol w:w="1018"/>
        <w:gridCol w:w="5599"/>
      </w:tblGrid>
      <w:tr>
        <w:trPr>
          <w:cantSplit/>
          <w:tblHeader/>
        </w:trPr>
        <w:tc>
          <w:tcPr>
            <w:tcW w:type="dxa" w:w="2443"/>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Risk</w:t>
            </w:r>
          </w:p>
        </w:tc>
        <w:tc>
          <w:tcPr>
            <w:tcW w:type="dxa" w:w="112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Likelihood</w:t>
            </w:r>
          </w:p>
        </w:tc>
        <w:tc>
          <w:tcPr>
            <w:tcW w:type="dxa" w:w="1018"/>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Impact</w:t>
            </w:r>
          </w:p>
        </w:tc>
        <w:tc>
          <w:tcPr>
            <w:tcW w:type="dxa" w:w="5599"/>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Mitigation</w:t>
            </w:r>
          </w:p>
        </w:tc>
      </w:tr>
      <w:tr>
        <w:trPr>
          <w:cantSplit/>
        </w:trPr>
        <w:tc>
          <w:tcPr>
            <w:tcW w:type="dxa" w:w="244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Hospital data cannot be obtained</w:t>
            </w:r>
          </w:p>
        </w:tc>
        <w:tc>
          <w:tcPr>
            <w:tcW w:type="dxa" w:w="112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High</w:t>
            </w:r>
          </w:p>
        </w:tc>
        <w:tc>
          <w:tcPr>
            <w:tcW w:type="dxa" w:w="101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High</w:t>
            </w:r>
          </w:p>
        </w:tc>
        <w:tc>
          <w:tcPr>
            <w:tcW w:type="dxa" w:w="559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Run the chain to EMS only and state the gap; pursue a single anchor hospital first rather than a system-wide agreement.</w:t>
            </w:r>
          </w:p>
        </w:tc>
      </w:tr>
      <w:tr>
        <w:trPr>
          <w:cantSplit/>
        </w:trPr>
        <w:tc>
          <w:tcPr>
            <w:tcW w:type="dxa" w:w="244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Telecom operators decline site data</w:t>
            </w:r>
          </w:p>
        </w:tc>
        <w:tc>
          <w:tcPr>
            <w:tcW w:type="dxa" w:w="112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High</w:t>
            </w:r>
          </w:p>
        </w:tc>
        <w:tc>
          <w:tcPr>
            <w:tcW w:type="dxa" w:w="101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Medium</w:t>
            </w:r>
          </w:p>
        </w:tc>
        <w:tc>
          <w:tcPr>
            <w:tcW w:type="dxa" w:w="559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Infer site stress from substation state and known battery hold-up; label it as inferred rather than measured.</w:t>
            </w:r>
          </w:p>
        </w:tc>
      </w:tr>
      <w:tr>
        <w:trPr>
          <w:cantSplit/>
        </w:trPr>
        <w:tc>
          <w:tcPr>
            <w:tcW w:type="dxa" w:w="244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 real event behaves unlike the model</w:t>
            </w:r>
          </w:p>
        </w:tc>
        <w:tc>
          <w:tcPr>
            <w:tcW w:type="dxa" w:w="112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Medium</w:t>
            </w:r>
          </w:p>
        </w:tc>
        <w:tc>
          <w:tcPr>
            <w:tcW w:type="dxa" w:w="101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High</w:t>
            </w:r>
          </w:p>
        </w:tc>
        <w:tc>
          <w:tcPr>
            <w:tcW w:type="dxa" w:w="559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This is the point of the pilot. The verification record is published either way; a miss is a finding, not a failure.</w:t>
            </w:r>
          </w:p>
        </w:tc>
      </w:tr>
      <w:tr>
        <w:trPr>
          <w:cantSplit/>
        </w:trPr>
        <w:tc>
          <w:tcPr>
            <w:tcW w:type="dxa" w:w="244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Operators do not adopt it</w:t>
            </w:r>
          </w:p>
        </w:tc>
        <w:tc>
          <w:tcPr>
            <w:tcW w:type="dxa" w:w="112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Medium</w:t>
            </w:r>
          </w:p>
        </w:tc>
        <w:tc>
          <w:tcPr>
            <w:tcW w:type="dxa" w:w="101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High</w:t>
            </w:r>
          </w:p>
        </w:tc>
        <w:tc>
          <w:tcPr>
            <w:tcW w:type="dxa" w:w="559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Embed in a duty roster, not a demo. Build shift handover and a decision log so it fits the existing workflow.</w:t>
            </w:r>
          </w:p>
        </w:tc>
      </w:tr>
      <w:tr>
        <w:trPr>
          <w:cantSplit/>
        </w:trPr>
        <w:tc>
          <w:tcPr>
            <w:tcW w:type="dxa" w:w="244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Over-reliance on a simulation</w:t>
            </w:r>
          </w:p>
        </w:tc>
        <w:tc>
          <w:tcPr>
            <w:tcW w:type="dxa" w:w="112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Medium</w:t>
            </w:r>
          </w:p>
        </w:tc>
        <w:tc>
          <w:tcPr>
            <w:tcW w:type="dxa" w:w="101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High</w:t>
            </w:r>
          </w:p>
        </w:tc>
        <w:tc>
          <w:tcPr>
            <w:tcW w:type="dxa" w:w="559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Simulation badge, modeled labels and stated limits in the interface; CAP output marked EXERCISE until certified.</w:t>
            </w:r>
          </w:p>
        </w:tc>
      </w:tr>
      <w:tr>
        <w:trPr>
          <w:cantSplit/>
        </w:trPr>
        <w:tc>
          <w:tcPr>
            <w:tcW w:type="dxa" w:w="244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Sensor spoofing</w:t>
            </w:r>
          </w:p>
        </w:tc>
        <w:tc>
          <w:tcPr>
            <w:tcW w:type="dxa" w:w="112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Low</w:t>
            </w:r>
          </w:p>
        </w:tc>
        <w:tc>
          <w:tcPr>
            <w:tcW w:type="dxa" w:w="101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Medium</w:t>
            </w:r>
          </w:p>
        </w:tc>
        <w:tc>
          <w:tcPr>
            <w:tcW w:type="dxa" w:w="559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Trust scoring already catches frozen, offline and biased feeds; a step test and buddy check are designed for spoofed plausible values.</w:t>
            </w:r>
          </w:p>
        </w:tc>
      </w:tr>
      <w:tr>
        <w:trPr>
          <w:cantSplit/>
        </w:trPr>
        <w:tc>
          <w:tcPr>
            <w:tcW w:type="dxa" w:w="244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Scale beyond browser limits</w:t>
            </w:r>
          </w:p>
        </w:tc>
        <w:tc>
          <w:tcPr>
            <w:tcW w:type="dxa" w:w="112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Medium</w:t>
            </w:r>
          </w:p>
        </w:tc>
        <w:tc>
          <w:tcPr>
            <w:tcW w:type="dxa" w:w="101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Low</w:t>
            </w:r>
          </w:p>
        </w:tc>
        <w:tc>
          <w:tcPr>
            <w:tcW w:type="dxa" w:w="559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Measured at 200–300 facilities; the engine is portable to a server with no model change.</w:t>
            </w:r>
          </w:p>
        </w:tc>
      </w:tr>
    </w:tbl>
    <w:p>
      <w:pPr>
        <w:spacing w:after="9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What a pilot would be judged on</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647"/>
        <w:gridCol w:w="2036"/>
        <w:gridCol w:w="5497"/>
      </w:tblGrid>
      <w:tr>
        <w:trPr>
          <w:cantSplit/>
          <w:tblHeader/>
        </w:trPr>
        <w:tc>
          <w:tcPr>
            <w:tcW w:type="dxa" w:w="2647"/>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Measure</w:t>
            </w:r>
          </w:p>
        </w:tc>
        <w:tc>
          <w:tcPr>
            <w:tcW w:type="dxa" w:w="2036"/>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Target</w:t>
            </w:r>
          </w:p>
        </w:tc>
        <w:tc>
          <w:tcPr>
            <w:tcW w:type="dxa" w:w="5497"/>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Why this one</w:t>
            </w:r>
          </w:p>
        </w:tc>
      </w:tr>
      <w:tr>
        <w:trPr>
          <w:cantSplit/>
        </w:trPr>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Median lead time</w:t>
            </w:r>
          </w:p>
        </w:tc>
        <w:tc>
          <w:tcPr>
            <w:tcW w:type="dxa" w:w="203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&gt; 6 h on real events</w:t>
            </w:r>
          </w:p>
        </w:tc>
        <w:tc>
          <w:tcPr>
            <w:tcW w:type="dxa" w:w="549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whole premise is warning before, not reporting after. Six hours is the threshold at which pre-staging becomes possible.</w:t>
            </w:r>
          </w:p>
        </w:tc>
      </w:tr>
      <w:tr>
        <w:trPr>
          <w:cantSplit/>
        </w:trPr>
        <w:tc>
          <w:tcPr>
            <w:tcW w:type="dxa" w:w="264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Probability of detection</w:t>
            </w:r>
          </w:p>
        </w:tc>
        <w:tc>
          <w:tcPr>
            <w:tcW w:type="dxa" w:w="203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&gt; 70%</w:t>
            </w:r>
          </w:p>
        </w:tc>
        <w:tc>
          <w:tcPr>
            <w:tcW w:type="dxa" w:w="549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Missing events is worse than a false alarm in this domain.</w:t>
            </w:r>
          </w:p>
        </w:tc>
      </w:tr>
      <w:tr>
        <w:trPr>
          <w:cantSplit/>
        </w:trPr>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False-alarm ratio</w:t>
            </w:r>
          </w:p>
        </w:tc>
        <w:tc>
          <w:tcPr>
            <w:tcW w:type="dxa" w:w="203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&lt; 30%</w:t>
            </w:r>
          </w:p>
        </w:tc>
        <w:tc>
          <w:tcPr>
            <w:tcW w:type="dxa" w:w="549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Above this, operators stop reading the alerts and the system is worse than nothing.</w:t>
            </w:r>
          </w:p>
        </w:tc>
      </w:tr>
      <w:tr>
        <w:trPr>
          <w:cantSplit/>
        </w:trPr>
        <w:tc>
          <w:tcPr>
            <w:tcW w:type="dxa" w:w="264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Brier skill vs persistence</w:t>
            </w:r>
          </w:p>
        </w:tc>
        <w:tc>
          <w:tcPr>
            <w:tcW w:type="dxa" w:w="203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&gt; 0</w:t>
            </w:r>
          </w:p>
        </w:tc>
        <w:tc>
          <w:tcPr>
            <w:tcW w:type="dxa" w:w="549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honest floor: beat assuming tomorrow looks like today.</w:t>
            </w:r>
          </w:p>
        </w:tc>
      </w:tr>
      <w:tr>
        <w:trPr>
          <w:cantSplit/>
        </w:trPr>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Unprompted operator use</w:t>
            </w:r>
          </w:p>
        </w:tc>
        <w:tc>
          <w:tcPr>
            <w:tcW w:type="dxa" w:w="203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At least once in a real event</w:t>
            </w:r>
          </w:p>
        </w:tc>
        <w:tc>
          <w:tcPr>
            <w:tcW w:type="dxa" w:w="549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only adoption measure that cannot be gamed.</w:t>
            </w:r>
          </w:p>
        </w:tc>
      </w:tr>
      <w:tr>
        <w:trPr>
          <w:cantSplit/>
        </w:trPr>
        <w:tc>
          <w:tcPr>
            <w:tcW w:type="dxa" w:w="264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Decisions traceable to the tool</w:t>
            </w:r>
          </w:p>
        </w:tc>
        <w:tc>
          <w:tcPr>
            <w:tcW w:type="dxa" w:w="203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Logged per event</w:t>
            </w:r>
          </w:p>
        </w:tc>
        <w:tc>
          <w:tcPr>
            <w:tcW w:type="dxa" w:w="549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Establishes whether it changed anything, which is the question a funder will ask.</w:t>
            </w:r>
          </w:p>
        </w:tc>
      </w:tr>
    </w:tbl>
    <w:p>
      <w:pPr>
        <w:spacing w:after="90" w:before="0"/>
      </w:pPr>
      <w:r>
        <w:rPr>
          <w:sz w:val="2"/>
          <w:szCs w:val="2"/>
        </w:rPr>
        <w:t xml:space="preserve"/>
      </w:r>
    </w:p>
    <w:p>
      <w:pPr>
        <w:pStyle w:val="Heading1"/>
        <w:pBdr>
          <w:bottom w:val="single" w:color="1F4E79" w:sz="10" w:space="3"/>
        </w:pBdr>
        <w:spacing w:after="110" w:before="170"/>
      </w:pPr>
      <w:r>
        <w:rPr>
          <w:rFonts w:ascii="Calibri" w:cs="Calibri" w:eastAsia="Calibri" w:hAnsi="Calibri"/>
          <w:b/>
          <w:bCs/>
          <w:color w:val="C9D2DC"/>
          <w:sz w:val="26"/>
          <w:szCs w:val="26"/>
        </w:rPr>
        <w:t xml:space="preserve">14  </w:t>
      </w:r>
      <w:r>
        <w:rPr>
          <w:rFonts w:ascii="Calibri" w:cs="Calibri" w:eastAsia="Calibri" w:hAnsi="Calibri"/>
          <w:b/>
          <w:bCs/>
          <w:color w:val="1F4E79"/>
          <w:sz w:val="26"/>
          <w:szCs w:val="26"/>
        </w:rPr>
        <w:t xml:space="preserve">Business view</w:t>
      </w:r>
    </w:p>
    <w:tbl>
      <w:tblPr>
        <w:tblW w:type="dxa" w:w="10180"/>
        <w:tblBorders>
          <w:top w:val="none"/>
          <w:left w:val="none"/>
          <w:bottom w:val="none"/>
          <w:right w:val="none"/>
          <w:insideH w:val="single" w:color="auto" w:sz="4"/>
          <w:insideV w:val="single" w:color="auto" w:sz="4"/>
        </w:tblBorders>
      </w:tblPr>
      <w:tblGrid>
        <w:gridCol w:w="5090"/>
        <w:gridCol w:w="5090"/>
      </w:tblGrid>
      <w:tr>
        <w:tc>
          <w:tcPr>
            <w:tcW w:type="dxa" w:w="5090"/>
            <w:tcBorders>
              <w:top w:val="none"/>
              <w:left w:val="none"/>
              <w:bottom w:val="none"/>
              <w:right w:val="none"/>
            </w:tcBorders>
            <w:tcMar>
              <w:top w:type="dxa" w:w="0"/>
              <w:left w:type="dxa" w:w="0"/>
              <w:bottom w:type="dxa" w:w="0"/>
              <w:right w:type="dxa" w:w="150"/>
            </w:tcMar>
          </w:tcPr>
          <w:p>
            <w:pPr>
              <w:pStyle w:val="Heading2"/>
              <w:spacing w:after="65" w:before="130"/>
            </w:pPr>
            <w:r>
              <w:rPr>
                <w:rFonts w:ascii="Calibri" w:cs="Calibri" w:eastAsia="Calibri" w:hAnsi="Calibri"/>
                <w:b/>
                <w:bCs/>
                <w:color w:val="14181D"/>
                <w:sz w:val="21"/>
                <w:szCs w:val="21"/>
              </w:rPr>
              <w:t xml:space="preserve">Who buys</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Municipal corporations and smart-city SPVs</w:t>
            </w:r>
            <w:r>
              <w:rPr>
                <w:rFonts w:ascii="Calibri" w:cs="Calibri" w:eastAsia="Calibri" w:hAnsi="Calibri"/>
                <w:color w:val="14181D"/>
                <w:sz w:val="19"/>
                <w:szCs w:val="19"/>
              </w:rPr>
              <w:t xml:space="preserve"> operating an ICCC — the primary buyer; the budget line already exists.</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State disaster management authorities</w:t>
            </w:r>
            <w:r>
              <w:rPr>
                <w:rFonts w:ascii="Calibri" w:cs="Calibri" w:eastAsia="Calibri" w:hAnsi="Calibri"/>
                <w:color w:val="14181D"/>
                <w:sz w:val="19"/>
                <w:szCs w:val="19"/>
              </w:rPr>
              <w:t xml:space="preserve"> — multi-city deployments, standardised reporting.</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Distribution utilities</w:t>
            </w:r>
            <w:r>
              <w:rPr>
                <w:rFonts w:ascii="Calibri" w:cs="Calibri" w:eastAsia="Calibri" w:hAnsi="Calibri"/>
                <w:color w:val="14181D"/>
                <w:sz w:val="19"/>
                <w:szCs w:val="19"/>
              </w:rPr>
              <w:t xml:space="preserve"> — a narrower product: what my outage does downstream.</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Hospital networks</w:t>
            </w:r>
            <w:r>
              <w:rPr>
                <w:rFonts w:ascii="Calibri" w:cs="Calibri" w:eastAsia="Calibri" w:hAnsi="Calibri"/>
                <w:color w:val="14181D"/>
                <w:sz w:val="19"/>
                <w:szCs w:val="19"/>
              </w:rPr>
              <w:t xml:space="preserve"> — inbound-demand forecasting and diversion planning.</w:t>
            </w:r>
          </w:p>
        </w:tc>
        <w:tc>
          <w:tcPr>
            <w:tcW w:type="dxa" w:w="5090"/>
            <w:tcBorders>
              <w:top w:val="none"/>
              <w:left w:val="none"/>
              <w:bottom w:val="none"/>
              <w:right w:val="none"/>
            </w:tcBorders>
            <w:tcMar>
              <w:top w:type="dxa" w:w="0"/>
              <w:left w:type="dxa" w:w="0"/>
              <w:bottom w:type="dxa" w:w="0"/>
              <w:right w:type="dxa" w:w="150"/>
            </w:tcMar>
          </w:tcPr>
          <w:p>
            <w:pPr>
              <w:pStyle w:val="Heading2"/>
              <w:spacing w:after="65" w:before="130"/>
            </w:pPr>
            <w:r>
              <w:rPr>
                <w:rFonts w:ascii="Calibri" w:cs="Calibri" w:eastAsia="Calibri" w:hAnsi="Calibri"/>
                <w:b/>
                <w:bCs/>
                <w:color w:val="14181D"/>
                <w:sz w:val="21"/>
                <w:szCs w:val="21"/>
              </w:rPr>
              <w:t xml:space="preserve">How it is sold</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Pilot</w:t>
            </w:r>
            <w:r>
              <w:rPr>
                <w:rFonts w:ascii="Calibri" w:cs="Calibri" w:eastAsia="Calibri" w:hAnsi="Calibri"/>
                <w:color w:val="14181D"/>
                <w:sz w:val="19"/>
                <w:szCs w:val="19"/>
              </w:rPr>
              <w:t xml:space="preserve"> — one city, one hazard family, one season. Fixed fee, success measured on verified lead time.</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Annual licence</w:t>
            </w:r>
            <w:r>
              <w:rPr>
                <w:rFonts w:ascii="Calibri" w:cs="Calibri" w:eastAsia="Calibri" w:hAnsi="Calibri"/>
                <w:color w:val="14181D"/>
                <w:sz w:val="19"/>
                <w:szCs w:val="19"/>
              </w:rPr>
              <w:t xml:space="preserve"> — per city, tiered by monitored assets and scenarios.</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Integration</w:t>
            </w:r>
            <w:r>
              <w:rPr>
                <w:rFonts w:ascii="Calibri" w:cs="Calibri" w:eastAsia="Calibri" w:hAnsi="Calibri"/>
                <w:color w:val="14181D"/>
                <w:sz w:val="19"/>
                <w:szCs w:val="19"/>
              </w:rPr>
              <w:t xml:space="preserve"> — one-off per connector; the largest first-year line.</w:t>
            </w:r>
          </w:p>
          <w:p>
            <w:pPr>
              <w:spacing w:after="55" w:before="0" w:line="245"/>
              <w:ind w:left="200" w:hanging="150"/>
            </w:pPr>
            <w:r>
              <w:rPr>
                <w:rFonts w:ascii="Calibri" w:cs="Calibri" w:eastAsia="Calibri" w:hAnsi="Calibri"/>
                <w:b/>
                <w:bCs/>
                <w:color w:val="1F4E79"/>
                <w:sz w:val="19"/>
                <w:szCs w:val="19"/>
              </w:rPr>
              <w:t xml:space="preserve">— </w:t>
            </w:r>
            <w:r>
              <w:rPr>
                <w:rFonts w:ascii="Calibri" w:cs="Calibri" w:eastAsia="Calibri" w:hAnsi="Calibri"/>
                <w:b/>
                <w:bCs/>
                <w:color w:val="14181D"/>
                <w:sz w:val="19"/>
                <w:szCs w:val="19"/>
              </w:rPr>
              <w:t xml:space="preserve">Verification report</w:t>
            </w:r>
            <w:r>
              <w:rPr>
                <w:rFonts w:ascii="Calibri" w:cs="Calibri" w:eastAsia="Calibri" w:hAnsi="Calibri"/>
                <w:color w:val="14181D"/>
                <w:sz w:val="19"/>
                <w:szCs w:val="19"/>
              </w:rPr>
              <w:t xml:space="preserve"> — seasonal scoring of what was forecast against what happened.</w:t>
            </w:r>
          </w:p>
        </w:tc>
      </w:tr>
    </w:tbl>
    <w:p>
      <w:pPr>
        <w:spacing w:after="70" w:before="0"/>
      </w:pPr>
      <w:r>
        <w:rPr>
          <w:sz w:val="2"/>
          <w:szCs w:val="2"/>
        </w:rPr>
        <w:t xml:space="preserve"/>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628"/>
        <w:gridCol w:w="4276"/>
        <w:gridCol w:w="4276"/>
      </w:tblGrid>
      <w:tr>
        <w:trPr>
          <w:cantSplit/>
          <w:tblHeader/>
        </w:trPr>
        <w:tc>
          <w:tcPr>
            <w:tcW w:type="dxa" w:w="1628"/>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Phase</w:t>
            </w:r>
          </w:p>
        </w:tc>
        <w:tc>
          <w:tcPr>
            <w:tcW w:type="dxa" w:w="4276"/>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Goal</w:t>
            </w:r>
          </w:p>
        </w:tc>
        <w:tc>
          <w:tcPr>
            <w:tcW w:type="dxa" w:w="4276"/>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Proof required to advance</w:t>
            </w:r>
          </w:p>
        </w:tc>
      </w:tr>
      <w:tr>
        <w:trPr>
          <w:cantSplit/>
        </w:trPr>
        <w:tc>
          <w:tcPr>
            <w:tcW w:type="dxa" w:w="162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Now</w:t>
            </w:r>
          </w:p>
        </w:tc>
        <w:tc>
          <w:tcPr>
            <w:tcW w:type="dxa" w:w="427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Prototype on two cities, replay-validated</w:t>
            </w:r>
          </w:p>
        </w:tc>
        <w:tc>
          <w:tcPr>
            <w:tcW w:type="dxa" w:w="427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Done — this document and the working build</w:t>
            </w:r>
          </w:p>
        </w:tc>
      </w:tr>
      <w:tr>
        <w:trPr>
          <w:cantSplit/>
        </w:trPr>
        <w:tc>
          <w:tcPr>
            <w:tcW w:type="dxa" w:w="162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0–6 months</w:t>
            </w:r>
          </w:p>
        </w:tc>
        <w:tc>
          <w:tcPr>
            <w:tcW w:type="dxa" w:w="427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One live feed (rainfall + river level) in Nagpur; forecast verified against a real monsoon</w:t>
            </w:r>
          </w:p>
        </w:tc>
        <w:tc>
          <w:tcPr>
            <w:tcW w:type="dxa" w:w="427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Positive skill against a real observed event, not a synthetic one</w:t>
            </w:r>
          </w:p>
        </w:tc>
      </w:tr>
      <w:tr>
        <w:trPr>
          <w:cantSplit/>
        </w:trPr>
        <w:tc>
          <w:tcPr>
            <w:tcW w:type="dxa" w:w="1628"/>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6–18 months</w:t>
            </w:r>
          </w:p>
        </w:tc>
        <w:tc>
          <w:tcPr>
            <w:tcW w:type="dxa" w:w="427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Full ICCC integration: traffic, power, EMS. Embedded in a duty roster.</w:t>
            </w:r>
          </w:p>
        </w:tc>
        <w:tc>
          <w:tcPr>
            <w:tcW w:type="dxa" w:w="427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An operator chooses to use it unprompted during a real event</w:t>
            </w:r>
          </w:p>
        </w:tc>
      </w:tr>
      <w:tr>
        <w:trPr>
          <w:cantSplit/>
        </w:trPr>
        <w:tc>
          <w:tcPr>
            <w:tcW w:type="dxa" w:w="1628"/>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18+ months</w:t>
            </w:r>
          </w:p>
        </w:tc>
        <w:tc>
          <w:tcPr>
            <w:tcW w:type="dxa" w:w="427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Second and third city; engine moves server-side for scale</w:t>
            </w:r>
          </w:p>
        </w:tc>
        <w:tc>
          <w:tcPr>
            <w:tcW w:type="dxa" w:w="427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Unchanged engine, new city, no retuning — as Raleigh already demonstrates</w:t>
            </w:r>
          </w:p>
        </w:tc>
      </w:tr>
    </w:tbl>
    <w:p>
      <w:pPr>
        <w:spacing w:after="7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Why this is defensible commercially</w:t>
      </w:r>
    </w:p>
    <w:p>
      <w:pPr>
        <w:spacing w:after="90" w:before="0" w:line="250"/>
      </w:pPr>
      <w:r>
        <w:rPr>
          <w:rFonts w:ascii="Calibri" w:cs="Calibri" w:eastAsia="Calibri" w:hAnsi="Calibri"/>
          <w:color w:val="14181D"/>
          <w:sz w:val="19"/>
          <w:szCs w:val="19"/>
        </w:rPr>
        <w:t xml:space="preserve">Integration work is replicable by anyone. The learned dependency graph, the verification record accumulated season on season, and the deadline calculation are not. A city that has run this for two monsoons owns a calibrated model of its own failure modes that a new entrant cannot reproduce from a standing start.</w:t>
      </w:r>
    </w:p>
    <w:p>
      <w:pPr>
        <w:pStyle w:val="Heading1"/>
        <w:pBdr>
          <w:bottom w:val="single" w:color="1F4E79" w:sz="10" w:space="3"/>
        </w:pBdr>
        <w:spacing w:after="110" w:before="170"/>
      </w:pPr>
      <w:r>
        <w:rPr>
          <w:rFonts w:ascii="Calibri" w:cs="Calibri" w:eastAsia="Calibri" w:hAnsi="Calibri"/>
          <w:b/>
          <w:bCs/>
          <w:color w:val="C9D2DC"/>
          <w:sz w:val="26"/>
          <w:szCs w:val="26"/>
        </w:rPr>
        <w:t xml:space="preserve">15  </w:t>
      </w:r>
      <w:r>
        <w:rPr>
          <w:rFonts w:ascii="Calibri" w:cs="Calibri" w:eastAsia="Calibri" w:hAnsi="Calibri"/>
          <w:b/>
          <w:bCs/>
          <w:color w:val="1F4E79"/>
          <w:sz w:val="26"/>
          <w:szCs w:val="26"/>
        </w:rPr>
        <w:t xml:space="preserve">Limits we state up front</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851"/>
        <w:gridCol w:w="4479"/>
        <w:gridCol w:w="2850"/>
      </w:tblGrid>
      <w:tr>
        <w:trPr>
          <w:cantSplit/>
          <w:tblHeader/>
        </w:trPr>
        <w:tc>
          <w:tcPr>
            <w:tcW w:type="dxa" w:w="2851"/>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Limit</w:t>
            </w:r>
          </w:p>
        </w:tc>
        <w:tc>
          <w:tcPr>
            <w:tcW w:type="dxa" w:w="4479"/>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Detail</w:t>
            </w:r>
          </w:p>
        </w:tc>
        <w:tc>
          <w:tcPr>
            <w:tcW w:type="dxa" w:w="285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Mitigation</w:t>
            </w:r>
          </w:p>
        </w:tc>
      </w:tr>
      <w:tr>
        <w:trPr>
          <w:cantSplit/>
        </w:trPr>
        <w:tc>
          <w:tcPr>
            <w:tcW w:type="dxa" w:w="285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Not connected to live data</w:t>
            </w:r>
          </w:p>
        </w:tc>
        <w:tc>
          <w:tcPr>
            <w:tcW w:type="dxa" w:w="447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Every sensor reading, citizen report and outcome in the prototype is modeled. The city geometry is real; the telemetry is not.</w:t>
            </w:r>
          </w:p>
        </w:tc>
        <w:tc>
          <w:tcPr>
            <w:tcW w:type="dxa" w:w="285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Connector work is specified and costed; the interface already carries the labels</w:t>
            </w:r>
          </w:p>
        </w:tc>
      </w:tr>
      <w:tr>
        <w:trPr>
          <w:cantSplit/>
        </w:trPr>
        <w:tc>
          <w:tcPr>
            <w:tcW w:type="dxa" w:w="2851"/>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Synthetic ground truth</w:t>
            </w:r>
          </w:p>
        </w:tc>
        <w:tc>
          <w:tcPr>
            <w:tcW w:type="dxa" w:w="447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Validation scores come from a truth generated by the same model family, so there is no structural model error. They are an upper bound.</w:t>
            </w:r>
          </w:p>
        </w:tc>
        <w:tc>
          <w:tcPr>
            <w:tcW w:type="dxa" w:w="285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 live pilot against a real monsoon is the only answer</w:t>
            </w:r>
          </w:p>
        </w:tc>
      </w:tr>
      <w:tr>
        <w:trPr>
          <w:cantSplit/>
        </w:trPr>
        <w:tc>
          <w:tcPr>
            <w:tcW w:type="dxa" w:w="285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Prior is informative</w:t>
            </w:r>
          </w:p>
        </w:tc>
        <w:tc>
          <w:tcPr>
            <w:tcW w:type="dxa" w:w="447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Candidate links are supplied with a plausible scale; the system refines and prunes rather than discovering from nothing. The 7 fake links per city are the genuinely adversarial part.</w:t>
            </w:r>
          </w:p>
        </w:tc>
        <w:tc>
          <w:tcPr>
            <w:tcW w:type="dxa" w:w="285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 mis-specified-prior experiment is the next engine test</w:t>
            </w:r>
          </w:p>
        </w:tc>
      </w:tr>
      <w:tr>
        <w:trPr>
          <w:cantSplit/>
        </w:trPr>
        <w:tc>
          <w:tcPr>
            <w:tcW w:type="dxa" w:w="2851"/>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Ensemble over-dispersed</w:t>
            </w:r>
          </w:p>
        </w:tc>
        <w:tc>
          <w:tcPr>
            <w:tcW w:type="dxa" w:w="447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An 80% band covers 92% of outcomes; the system is under-confident, which costs skill score.</w:t>
            </w:r>
          </w:p>
        </w:tc>
        <w:tc>
          <w:tcPr>
            <w:tcW w:type="dxa" w:w="285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Spread calibration, identified and measurable</w:t>
            </w:r>
          </w:p>
        </w:tc>
      </w:tr>
      <w:tr>
        <w:trPr>
          <w:cantSplit/>
        </w:trPr>
        <w:tc>
          <w:tcPr>
            <w:tcW w:type="dxa" w:w="285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Scale ceiling</w:t>
            </w:r>
          </w:p>
        </w:tc>
        <w:tc>
          <w:tcPr>
            <w:tcW w:type="dxa" w:w="447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Roughly 200–300 facilities in a browser; 57 today.</w:t>
            </w:r>
          </w:p>
        </w:tc>
        <w:tc>
          <w:tcPr>
            <w:tcW w:type="dxa" w:w="285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Server-side engine for larger deployments</w:t>
            </w:r>
          </w:p>
        </w:tc>
      </w:tr>
      <w:tr>
        <w:trPr>
          <w:cantSplit/>
        </w:trPr>
        <w:tc>
          <w:tcPr>
            <w:tcW w:type="dxa" w:w="2851"/>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Adversarial inputs</w:t>
            </w:r>
          </w:p>
        </w:tc>
        <w:tc>
          <w:tcPr>
            <w:tcW w:type="dxa" w:w="447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Sensor trust catches frozen, offline and biased feeds, but not a spoofed value close to a plausible level.</w:t>
            </w:r>
          </w:p>
        </w:tc>
        <w:tc>
          <w:tcPr>
            <w:tcW w:type="dxa" w:w="285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 step test and a buddy check are designed and pending</w:t>
            </w:r>
          </w:p>
        </w:tc>
      </w:tr>
      <w:tr>
        <w:trPr>
          <w:cantSplit/>
        </w:trPr>
        <w:tc>
          <w:tcPr>
            <w:tcW w:type="dxa" w:w="285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3D models are representative</w:t>
            </w:r>
          </w:p>
        </w:tc>
        <w:tc>
          <w:tcPr>
            <w:tcW w:type="dxa" w:w="447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Facility models are authored at real scale, not surveyed replicas. Building heights are inferred from footprint area where OSM has no tag.</w:t>
            </w:r>
          </w:p>
        </w:tc>
        <w:tc>
          <w:tcPr>
            <w:tcW w:type="dxa" w:w="285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Clearly labelled; cosmetic, not analytical</w:t>
            </w:r>
          </w:p>
        </w:tc>
      </w:tr>
    </w:tbl>
    <w:p>
      <w:pPr>
        <w:spacing w:after="90" w:before="0"/>
      </w:pPr>
      <w:r>
        <w:rPr>
          <w:sz w:val="2"/>
          <w:szCs w:val="2"/>
        </w:rPr>
        <w:t xml:space="preserve"/>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0180"/>
      </w:tblGrid>
      <w:tr>
        <w:tc>
          <w:tcPr>
            <w:tcW w:type="dxa" w:w="10180"/>
            <w:tcBorders>
              <w:top w:val="single" w:color="1F4E79" w:sz="4"/>
              <w:left w:val="single" w:color="1F4E79" w:sz="18"/>
              <w:bottom w:val="single" w:color="1F4E79" w:sz="4"/>
              <w:right w:val="single" w:color="1F4E79" w:sz="4"/>
            </w:tcBorders>
            <w:shd w:fill="EEF3F8" w:color="auto" w:val="clear"/>
            <w:tcMar>
              <w:top w:type="dxa" w:w="90"/>
              <w:left w:type="dxa" w:w="130"/>
              <w:bottom w:type="dxa" w:w="90"/>
              <w:right w:type="dxa" w:w="130"/>
            </w:tcMar>
          </w:tcPr>
          <w:p>
            <w:pPr>
              <w:spacing w:after="45"/>
            </w:pPr>
            <w:r>
              <w:rPr>
                <w:rFonts w:ascii="Calibri" w:cs="Calibri" w:eastAsia="Calibri" w:hAnsi="Calibri"/>
                <w:b/>
                <w:bCs/>
                <w:color w:val="1F4E79"/>
                <w:sz w:val="19"/>
                <w:szCs w:val="19"/>
              </w:rPr>
              <w:t xml:space="preserve">Why we lead with the limits</w:t>
            </w:r>
          </w:p>
          <w:p>
            <w:pPr>
              <w:spacing w:after="0" w:line="245"/>
            </w:pPr>
            <w:r>
              <w:rPr>
                <w:rFonts w:ascii="Calibri" w:cs="Calibri" w:eastAsia="Calibri" w:hAnsi="Calibri"/>
                <w:color w:val="14181D"/>
                <w:sz w:val="18"/>
                <w:szCs w:val="18"/>
              </w:rPr>
              <w:t xml:space="preserve">A warning system is only useful if the people using it know exactly how far to trust it. Every one of the limits above is measured and stated in the interface, not buried. That discipline is itself part of the product.</w:t>
            </w:r>
          </w:p>
        </w:tc>
      </w:tr>
    </w:tbl>
    <w:p>
      <w:pPr>
        <w:spacing w:after="90" w:before="0"/>
      </w:pPr>
      <w:r>
        <w:rPr>
          <w:sz w:val="2"/>
          <w:szCs w:val="2"/>
        </w:rPr>
        <w:t xml:space="preserve"/>
      </w:r>
    </w:p>
    <w:p>
      <w:pPr>
        <w:spacing w:after="7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The same product on a phone</w:t>
      </w:r>
    </w:p>
    <w:p>
      <w:pPr>
        <w:spacing w:after="90" w:before="0" w:line="250"/>
      </w:pPr>
      <w:r>
        <w:rPr>
          <w:rFonts w:ascii="Calibri" w:cs="Calibri" w:eastAsia="Calibri" w:hAnsi="Calibri"/>
          <w:color w:val="14181D"/>
          <w:sz w:val="19"/>
          <w:szCs w:val="19"/>
        </w:rPr>
        <w:t xml:space="preserve">A duty officer is not always at a desk, and a ward officer never is. Every page reflows to phone width with no horizontal scrolling: the sidebar becomes an overlay, tables scroll inside their own containers, and the 3D twin keeps working. The resident view in particular is designed to be read on a phone, because that is the only device it will ever be read on.</w:t>
      </w:r>
    </w:p>
    <w:tbl>
      <w:tblPr>
        <w:tblW w:type="dxa" w:w="10180"/>
        <w:tblBorders>
          <w:top w:val="none"/>
          <w:left w:val="none"/>
          <w:bottom w:val="none"/>
          <w:right w:val="none"/>
          <w:insideH w:val="single" w:color="auto" w:sz="4"/>
          <w:insideV w:val="single" w:color="auto" w:sz="4"/>
        </w:tblBorders>
      </w:tblPr>
      <w:tblGrid>
        <w:gridCol w:w="5090"/>
        <w:gridCol w:w="5090"/>
      </w:tblGrid>
      <w:tr>
        <w:tc>
          <w:tcPr>
            <w:tcW w:type="dxa" w:w="5090"/>
            <w:tcBorders>
              <w:top w:val="none"/>
              <w:left w:val="none"/>
              <w:bottom w:val="none"/>
              <w:right w:val="none"/>
            </w:tcBorders>
            <w:tcMar>
              <w:top w:type="dxa" w:w="0"/>
              <w:left w:type="dxa" w:w="0"/>
              <w:bottom w:type="dxa" w:w="0"/>
              <w:right w:type="dxa" w:w="150"/>
            </w:tcMar>
          </w:tcPr>
          <w:p>
            <w:pPr>
              <w:spacing w:after="25" w:before="50"/>
              <w:jc w:val="center"/>
            </w:pPr>
            <w:r>
              <w:drawing>
                <wp:inline distT="0" distB="0" distL="0" distR="0">
                  <wp:extent cx="151447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14475" cy="327660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The feature sidebar as an overlay at 390 px, with a scrim; any link or Escape closes it.</w:t>
            </w:r>
          </w:p>
        </w:tc>
        <w:tc>
          <w:tcPr>
            <w:tcW w:type="dxa" w:w="5090"/>
            <w:tcBorders>
              <w:top w:val="none"/>
              <w:left w:val="none"/>
              <w:bottom w:val="none"/>
              <w:right w:val="none"/>
            </w:tcBorders>
            <w:tcMar>
              <w:top w:type="dxa" w:w="0"/>
              <w:left w:type="dxa" w:w="0"/>
              <w:bottom w:type="dxa" w:w="0"/>
              <w:right w:type="dxa" w:w="150"/>
            </w:tcMar>
          </w:tcPr>
          <w:p>
            <w:pPr>
              <w:spacing w:after="25" w:before="50"/>
              <w:jc w:val="center"/>
            </w:pPr>
            <w:r>
              <w:drawing>
                <wp:inline distT="0" distB="0" distL="0" distR="0">
                  <wp:extent cx="151447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14475" cy="325755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The Situation page at phone width — the same computed sentences and the same chart, reflowed.</w:t>
            </w:r>
          </w:p>
        </w:tc>
      </w:tr>
    </w:tbl>
    <w:p>
      <w:pPr>
        <w:pStyle w:val="Heading1"/>
        <w:pBdr>
          <w:bottom w:val="single" w:color="1F4E79" w:sz="10" w:space="3"/>
        </w:pBdr>
        <w:spacing w:after="110" w:before="170"/>
      </w:pPr>
      <w:r>
        <w:rPr>
          <w:rFonts w:ascii="Calibri" w:cs="Calibri" w:eastAsia="Calibri" w:hAnsi="Calibri"/>
          <w:b/>
          <w:bCs/>
          <w:color w:val="C9D2DC"/>
          <w:sz w:val="26"/>
          <w:szCs w:val="26"/>
        </w:rPr>
        <w:t xml:space="preserve">16  </w:t>
      </w:r>
      <w:r>
        <w:rPr>
          <w:rFonts w:ascii="Calibri" w:cs="Calibri" w:eastAsia="Calibri" w:hAnsi="Calibri"/>
          <w:b/>
          <w:bCs/>
          <w:color w:val="1F4E79"/>
          <w:sz w:val="26"/>
          <w:szCs w:val="26"/>
        </w:rPr>
        <w:t xml:space="preserve">What we would build next</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443"/>
        <w:gridCol w:w="5090"/>
        <w:gridCol w:w="2647"/>
      </w:tblGrid>
      <w:tr>
        <w:trPr>
          <w:cantSplit/>
          <w:tblHeader/>
        </w:trPr>
        <w:tc>
          <w:tcPr>
            <w:tcW w:type="dxa" w:w="2443"/>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Feature</w:t>
            </w:r>
          </w:p>
        </w:tc>
        <w:tc>
          <w:tcPr>
            <w:tcW w:type="dxa" w:w="509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What it does</w:t>
            </w:r>
          </w:p>
        </w:tc>
        <w:tc>
          <w:tcPr>
            <w:tcW w:type="dxa" w:w="2647"/>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Why it is next</w:t>
            </w:r>
          </w:p>
        </w:tc>
      </w:tr>
      <w:tr>
        <w:trPr>
          <w:cantSplit/>
        </w:trPr>
        <w:tc>
          <w:tcPr>
            <w:tcW w:type="dxa" w:w="244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Resource board</w:t>
            </w:r>
          </w:p>
        </w:tc>
        <w:tc>
          <w:tcPr>
            <w:tcW w:type="dxa" w:w="509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Crews become real units with a home depot and a travel time on the street graph, instead of an abstract budget of five.</w:t>
            </w:r>
          </w:p>
        </w:tc>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Turns the plan into an operation</w:t>
            </w:r>
          </w:p>
        </w:tc>
      </w:tr>
      <w:tr>
        <w:trPr>
          <w:cantSplit/>
        </w:trPr>
        <w:tc>
          <w:tcPr>
            <w:tcW w:type="dxa" w:w="244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Red-team console</w:t>
            </w:r>
          </w:p>
        </w:tc>
        <w:tc>
          <w:tcPr>
            <w:tcW w:type="dxa" w:w="509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Inject a frozen gauge, a spoofed spike, a bot burst or a 60% feed blackout, rebuild the twin on the poisoned streams and score it against the clean run.</w:t>
            </w:r>
          </w:p>
        </w:tc>
        <w:tc>
          <w:tcPr>
            <w:tcW w:type="dxa" w:w="264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Proves robustness instead of asserting it</w:t>
            </w:r>
          </w:p>
        </w:tc>
      </w:tr>
      <w:tr>
        <w:trPr>
          <w:cantSplit/>
        </w:trPr>
        <w:tc>
          <w:tcPr>
            <w:tcW w:type="dxa" w:w="244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Decision log and shift handover</w:t>
            </w:r>
          </w:p>
        </w:tc>
        <w:tc>
          <w:tcPr>
            <w:tcW w:type="dxa" w:w="509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Every action journalled against scenario time; one button produces the brief for the officer taking over.</w:t>
            </w:r>
          </w:p>
        </w:tc>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missing workflow piece</w:t>
            </w:r>
          </w:p>
        </w:tc>
      </w:tr>
      <w:tr>
        <w:trPr>
          <w:cantSplit/>
        </w:trPr>
        <w:tc>
          <w:tcPr>
            <w:tcW w:type="dxa" w:w="244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Exposure lens</w:t>
            </w:r>
          </w:p>
        </w:tc>
        <w:tc>
          <w:tcPr>
            <w:tcW w:type="dxa" w:w="509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Remove flooded corridors from the street graph and recompute who can still reach a hospital.</w:t>
            </w:r>
          </w:p>
        </w:tc>
        <w:tc>
          <w:tcPr>
            <w:tcW w:type="dxa" w:w="264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"17,000 people are cut off" beats "298,751 exposed"</w:t>
            </w:r>
          </w:p>
        </w:tc>
      </w:tr>
      <w:tr>
        <w:trPr>
          <w:cantSplit/>
        </w:trPr>
        <w:tc>
          <w:tcPr>
            <w:tcW w:type="dxa" w:w="244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Standing triggers</w:t>
            </w:r>
          </w:p>
        </w:tc>
        <w:tc>
          <w:tcPr>
            <w:tcW w:type="dxa" w:w="509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Rules the operator writes, backtested instantly against the whole replay.</w:t>
            </w:r>
          </w:p>
        </w:tc>
        <w:tc>
          <w:tcPr>
            <w:tcW w:type="dxa" w:w="2647"/>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Scales beyond watching a screen</w:t>
            </w:r>
          </w:p>
        </w:tc>
      </w:tr>
      <w:tr>
        <w:trPr>
          <w:cantSplit/>
        </w:trPr>
        <w:tc>
          <w:tcPr>
            <w:tcW w:type="dxa" w:w="244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Live weather</w:t>
            </w:r>
          </w:p>
        </w:tc>
        <w:tc>
          <w:tcPr>
            <w:tcW w:type="dxa" w:w="509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Drive the hazard from a real ensemble forecast rather than a scripted scenario.</w:t>
            </w:r>
          </w:p>
        </w:tc>
        <w:tc>
          <w:tcPr>
            <w:tcW w:type="dxa" w:w="2647"/>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First step out of simulation</w:t>
            </w:r>
          </w:p>
        </w:tc>
      </w:tr>
    </w:tbl>
    <w:p>
      <w:pPr>
        <w:spacing w:after="9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Glossary</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240"/>
        <w:gridCol w:w="7940"/>
      </w:tblGrid>
      <w:tr>
        <w:trPr>
          <w:cantSplit/>
          <w:tblHeader/>
        </w:trPr>
        <w:tc>
          <w:tcPr>
            <w:tcW w:type="dxa" w:w="224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Term</w:t>
            </w:r>
          </w:p>
        </w:tc>
        <w:tc>
          <w:tcPr>
            <w:tcW w:type="dxa" w:w="794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Meaning</w:t>
            </w:r>
          </w:p>
        </w:tc>
      </w:tr>
      <w:tr>
        <w:trPr>
          <w:cantSplit/>
        </w:trPr>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Cascade-R</w:t>
            </w:r>
          </w:p>
        </w:tc>
        <w:tc>
          <w:tcPr>
            <w:tcW w:type="dxa" w:w="79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Stress arriving through dependencies divided by stress arriving from the hazard. Above 1, the cascade sustains itself and stopping the hazard no longer stops it.</w:t>
            </w:r>
          </w:p>
        </w:tc>
      </w:tr>
      <w:tr>
        <w:trPr>
          <w:cantSplit/>
        </w:trPr>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Crisis</w:t>
            </w:r>
          </w:p>
        </w:tc>
        <w:tc>
          <w:tcPr>
            <w:tcW w:type="dxa" w:w="79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 connected group of stressed facilities with its own ID, stage, footprint and owner — one of possibly several running at once.</w:t>
            </w:r>
          </w:p>
        </w:tc>
      </w:tr>
      <w:tr>
        <w:trPr>
          <w:cantSplit/>
        </w:trPr>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Critical facility-hours</w:t>
            </w:r>
          </w:p>
        </w:tc>
        <w:tc>
          <w:tcPr>
            <w:tcW w:type="dxa" w:w="79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Hours spent at or above CRITICAL, summed over facilities and weighted by importance, so a trauma centre counts for more than a culvert gauge.</w:t>
            </w:r>
          </w:p>
        </w:tc>
      </w:tr>
      <w:tr>
        <w:trPr>
          <w:cantSplit/>
        </w:trPr>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Decision deadline</w:t>
            </w:r>
          </w:p>
        </w:tc>
        <w:tc>
          <w:tcPr>
            <w:tcW w:type="dxa" w:w="79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latest the crews can start and still keep 80% of the plan's benefit, deciding on the same information.</w:t>
            </w:r>
          </w:p>
        </w:tc>
      </w:tr>
      <w:tr>
        <w:trPr>
          <w:cantSplit/>
        </w:trPr>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Ensemble member</w:t>
            </w:r>
          </w:p>
        </w:tc>
        <w:tc>
          <w:tcPr>
            <w:tcW w:type="dxa" w:w="79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One of 200 plausible futures, each with its own hazard, capacities and link weights.</w:t>
            </w:r>
          </w:p>
        </w:tc>
      </w:tr>
      <w:tr>
        <w:trPr>
          <w:cantSplit/>
        </w:trPr>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Effective sample size</w:t>
            </w:r>
          </w:p>
        </w:tc>
        <w:tc>
          <w:tcPr>
            <w:tcW w:type="dxa" w:w="79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How many members still carry meaningful weight. Kept above 12% so the filter cannot collapse onto one future.</w:t>
            </w:r>
          </w:p>
        </w:tc>
      </w:tr>
      <w:tr>
        <w:trPr>
          <w:cantSplit/>
        </w:trPr>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Issue time</w:t>
            </w:r>
          </w:p>
        </w:tc>
        <w:tc>
          <w:tcPr>
            <w:tcW w:type="dxa" w:w="79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moment a product was generated. Everything shown uses only data available then.</w:t>
            </w:r>
          </w:p>
        </w:tc>
      </w:tr>
      <w:tr>
        <w:trPr>
          <w:cantSplit/>
        </w:trPr>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Replay</w:t>
            </w:r>
          </w:p>
        </w:tc>
        <w:tc>
          <w:tcPr>
            <w:tcW w:type="dxa" w:w="79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Re-running the whole 72-hour window with the future locked away, scoring every forecast against the hidden truth.</w:t>
            </w:r>
          </w:p>
        </w:tc>
      </w:tr>
    </w:tbl>
    <w:p>
      <w:pPr>
        <w:spacing w:after="90" w:before="0"/>
      </w:pPr>
      <w:r>
        <w:rPr>
          <w:sz w:val="2"/>
          <w:szCs w:val="2"/>
        </w:rPr>
        <w:t xml:space="preserve"/>
      </w:r>
    </w:p>
    <w:p>
      <w:pPr>
        <w:pStyle w:val="Heading1"/>
        <w:pBdr>
          <w:bottom w:val="single" w:color="1F4E79" w:sz="10" w:space="3"/>
        </w:pBdr>
        <w:spacing w:after="110" w:before="170"/>
      </w:pPr>
      <w:r>
        <w:rPr>
          <w:rFonts w:ascii="Calibri" w:cs="Calibri" w:eastAsia="Calibri" w:hAnsi="Calibri"/>
          <w:b/>
          <w:bCs/>
          <w:color w:val="C9D2DC"/>
          <w:sz w:val="26"/>
          <w:szCs w:val="26"/>
        </w:rPr>
        <w:t xml:space="preserve">17  </w:t>
      </w:r>
      <w:r>
        <w:rPr>
          <w:rFonts w:ascii="Calibri" w:cs="Calibri" w:eastAsia="Calibri" w:hAnsi="Calibri"/>
          <w:b/>
          <w:bCs/>
          <w:color w:val="1F4E79"/>
          <w:sz w:val="26"/>
          <w:szCs w:val="26"/>
        </w:rPr>
        <w:t xml:space="preserve">How to review the prototype</w:t>
      </w:r>
    </w:p>
    <w:p>
      <w:pPr>
        <w:spacing w:after="90" w:before="0" w:line="250"/>
      </w:pPr>
      <w:r>
        <w:rPr>
          <w:rFonts w:ascii="Calibri" w:cs="Calibri" w:eastAsia="Calibri" w:hAnsi="Calibri"/>
          <w:color w:val="14181D"/>
          <w:sz w:val="19"/>
          <w:szCs w:val="19"/>
        </w:rPr>
        <w:t xml:space="preserve">Everything below is reproducible in a browser in about ten minutes. No account, no server, no sample data to load — the prototype opens on Nagpur with the monsoon reconstruction already running.</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509"/>
        <w:gridCol w:w="4276"/>
        <w:gridCol w:w="5395"/>
      </w:tblGrid>
      <w:tr>
        <w:trPr>
          <w:cantSplit/>
          <w:tblHeader/>
        </w:trPr>
        <w:tc>
          <w:tcPr>
            <w:tcW w:type="dxa" w:w="509"/>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t>
            </w:r>
          </w:p>
        </w:tc>
        <w:tc>
          <w:tcPr>
            <w:tcW w:type="dxa" w:w="4276"/>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Do this</w:t>
            </w:r>
          </w:p>
        </w:tc>
        <w:tc>
          <w:tcPr>
            <w:tcW w:type="dxa" w:w="5395"/>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What to look for</w:t>
            </w:r>
          </w:p>
        </w:tc>
      </w:tr>
      <w:tr>
        <w:trPr>
          <w:cantSplit/>
        </w:trPr>
        <w:tc>
          <w:tcPr>
            <w:tcW w:type="dxa" w:w="50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1</w:t>
            </w:r>
          </w:p>
        </w:tc>
        <w:tc>
          <w:tcPr>
            <w:tcW w:type="dxa" w:w="427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Open the Situation page and read the first paragraph.</w:t>
            </w:r>
          </w:p>
        </w:tc>
        <w:tc>
          <w:tcPr>
            <w:tcW w:type="dxa" w:w="539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It is generated, not written. Change the scenario and the sentence rewrites itself from the new engine state.</w:t>
            </w:r>
          </w:p>
        </w:tc>
      </w:tr>
      <w:tr>
        <w:trPr>
          <w:cantSplit/>
        </w:trPr>
        <w:tc>
          <w:tcPr>
            <w:tcW w:type="dxa" w:w="50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2</w:t>
            </w:r>
          </w:p>
        </w:tc>
        <w:tc>
          <w:tcPr>
            <w:tcW w:type="dxa" w:w="427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Drag the 72-hour timeline backwards and forwards.</w:t>
            </w:r>
          </w:p>
        </w:tc>
        <w:tc>
          <w:tcPr>
            <w:tcW w:type="dxa" w:w="539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forecast, the crisis registry, the sidebar chips and the sun on the 3D city all move together. Nothing is a stored snapshot.</w:t>
            </w:r>
          </w:p>
        </w:tc>
      </w:tr>
      <w:tr>
        <w:trPr>
          <w:cantSplit/>
        </w:trPr>
        <w:tc>
          <w:tcPr>
            <w:tcW w:type="dxa" w:w="50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3</w:t>
            </w:r>
          </w:p>
        </w:tc>
        <w:tc>
          <w:tcPr>
            <w:tcW w:type="dxa" w:w="427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Set the time to before the event and compare with after.</w:t>
            </w:r>
          </w:p>
        </w:tc>
        <w:tc>
          <w:tcPr>
            <w:tcW w:type="dxa" w:w="539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Forecasts issued early contain no knowledge of what follows. The crisis history strip shows exactly which crises were knowable at each hour.</w:t>
            </w:r>
          </w:p>
        </w:tc>
      </w:tr>
      <w:tr>
        <w:trPr>
          <w:cantSplit/>
        </w:trPr>
        <w:tc>
          <w:tcPr>
            <w:tcW w:type="dxa" w:w="50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4</w:t>
            </w:r>
          </w:p>
        </w:tc>
        <w:tc>
          <w:tcPr>
            <w:tcW w:type="dxa" w:w="427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Open Response and switch between the chlorine and monsoon scenarios.</w:t>
            </w:r>
          </w:p>
        </w:tc>
        <w:tc>
          <w:tcPr>
            <w:tcW w:type="dxa" w:w="539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deadline curve inverts: a cliff in one case, a gentle slope in the other. Same engine, opposite instruction.</w:t>
            </w:r>
          </w:p>
        </w:tc>
      </w:tr>
      <w:tr>
        <w:trPr>
          <w:cantSplit/>
        </w:trPr>
        <w:tc>
          <w:tcPr>
            <w:tcW w:type="dxa" w:w="50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5</w:t>
            </w:r>
          </w:p>
        </w:tc>
        <w:tc>
          <w:tcPr>
            <w:tcW w:type="dxa" w:w="427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Open Warnings and compare the English and Hindi cards.</w:t>
            </w:r>
          </w:p>
        </w:tc>
        <w:tc>
          <w:tcPr>
            <w:tcW w:type="dxa" w:w="539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Same warning, one segment versus three. The encoding is computed from the actual characters, not assumed.</w:t>
            </w:r>
          </w:p>
        </w:tc>
      </w:tr>
      <w:tr>
        <w:trPr>
          <w:cantSplit/>
        </w:trPr>
        <w:tc>
          <w:tcPr>
            <w:tcW w:type="dxa" w:w="50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6</w:t>
            </w:r>
          </w:p>
        </w:tc>
        <w:tc>
          <w:tcPr>
            <w:tcW w:type="dxa" w:w="427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Open My area and change the district.</w:t>
            </w:r>
          </w:p>
        </w:tc>
        <w:tc>
          <w:tcPr>
            <w:tcW w:type="dxa" w:w="539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verdict, the 36-hour strip and the roads list all change; the advice switches language without reloading.</w:t>
            </w:r>
          </w:p>
        </w:tc>
      </w:tr>
      <w:tr>
        <w:trPr>
          <w:cantSplit/>
        </w:trPr>
        <w:tc>
          <w:tcPr>
            <w:tcW w:type="dxa" w:w="509"/>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7</w:t>
            </w:r>
          </w:p>
        </w:tc>
        <w:tc>
          <w:tcPr>
            <w:tcW w:type="dxa" w:w="427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Switch the city to Raleigh.</w:t>
            </w:r>
          </w:p>
        </w:tc>
        <w:tc>
          <w:tcPr>
            <w:tcW w:type="dxa" w:w="5395"/>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same engine, untuned, on a city with different systems, a different time zone and no telecom layer. This is the generalisation test.</w:t>
            </w:r>
          </w:p>
        </w:tc>
      </w:tr>
      <w:tr>
        <w:trPr>
          <w:cantSplit/>
        </w:trPr>
        <w:tc>
          <w:tcPr>
            <w:tcW w:type="dxa" w:w="509"/>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8</w:t>
            </w:r>
          </w:p>
        </w:tc>
        <w:tc>
          <w:tcPr>
            <w:tcW w:type="dxa" w:w="427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Open the twin, select a facility, read the inspector.</w:t>
            </w:r>
          </w:p>
        </w:tc>
        <w:tc>
          <w:tcPr>
            <w:tcW w:type="dxa" w:w="5395"/>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Risk decomposes into baseline, hazard and each upstream link with its weight, lag and sensor trust. Ask why, get an answer.</w:t>
            </w:r>
          </w:p>
        </w:tc>
      </w:tr>
    </w:tbl>
    <w:p>
      <w:pPr>
        <w:spacing w:after="80" w:before="0"/>
      </w:pPr>
      <w:r>
        <w:rPr>
          <w:sz w:val="2"/>
          <w:szCs w:val="2"/>
        </w:rPr>
        <w:t xml:space="preserve"/>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0180"/>
      </w:tblGrid>
      <w:tr>
        <w:tc>
          <w:tcPr>
            <w:tcW w:type="dxa" w:w="10180"/>
            <w:tcBorders>
              <w:top w:val="single" w:color="8A6A12" w:sz="4"/>
              <w:left w:val="single" w:color="8A6A12" w:sz="18"/>
              <w:bottom w:val="single" w:color="8A6A12" w:sz="4"/>
              <w:right w:val="single" w:color="8A6A12" w:sz="4"/>
            </w:tcBorders>
            <w:shd w:fill="EEF3F8" w:color="auto" w:val="clear"/>
            <w:tcMar>
              <w:top w:type="dxa" w:w="90"/>
              <w:left w:type="dxa" w:w="130"/>
              <w:bottom w:type="dxa" w:w="90"/>
              <w:right w:type="dxa" w:w="130"/>
            </w:tcMar>
          </w:tcPr>
          <w:p>
            <w:pPr>
              <w:spacing w:after="45"/>
            </w:pPr>
            <w:r>
              <w:rPr>
                <w:rFonts w:ascii="Calibri" w:cs="Calibri" w:eastAsia="Calibri" w:hAnsi="Calibri"/>
                <w:b/>
                <w:bCs/>
                <w:color w:val="8A6A12"/>
                <w:sz w:val="19"/>
                <w:szCs w:val="19"/>
              </w:rPr>
              <w:t xml:space="preserve">What would change our mind</w:t>
            </w:r>
          </w:p>
          <w:p>
            <w:pPr>
              <w:spacing w:after="0" w:line="245"/>
            </w:pPr>
            <w:r>
              <w:rPr>
                <w:rFonts w:ascii="Calibri" w:cs="Calibri" w:eastAsia="Calibri" w:hAnsi="Calibri"/>
                <w:color w:val="14181D"/>
                <w:sz w:val="18"/>
                <w:szCs w:val="18"/>
              </w:rPr>
              <w:t xml:space="preserve">If a live pilot shows the lead time collapsing on a real event, the honest conclusion is that cross-system forecasting needs better physical models than ours, not better presentation. We would publish that result. The verification machinery is already built to measure it either way, which is the point of building it before the claim rather than after.</w:t>
            </w:r>
          </w:p>
        </w:tc>
      </w:tr>
    </w:tbl>
    <w:p>
      <w:pPr>
        <w:spacing w:after="9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Deployment options</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036"/>
        <w:gridCol w:w="4683"/>
        <w:gridCol w:w="3461"/>
      </w:tblGrid>
      <w:tr>
        <w:trPr>
          <w:cantSplit/>
          <w:tblHeader/>
        </w:trPr>
        <w:tc>
          <w:tcPr>
            <w:tcW w:type="dxa" w:w="2036"/>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Mode</w:t>
            </w:r>
          </w:p>
        </w:tc>
        <w:tc>
          <w:tcPr>
            <w:tcW w:type="dxa" w:w="4683"/>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What it is</w:t>
            </w:r>
          </w:p>
        </w:tc>
        <w:tc>
          <w:tcPr>
            <w:tcW w:type="dxa" w:w="3461"/>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Best for</w:t>
            </w:r>
          </w:p>
        </w:tc>
      </w:tr>
      <w:tr>
        <w:trPr>
          <w:cantSplit/>
        </w:trPr>
        <w:tc>
          <w:tcPr>
            <w:tcW w:type="dxa" w:w="203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Offline briefcase</w:t>
            </w:r>
          </w:p>
        </w:tc>
        <w:tc>
          <w:tcPr>
            <w:tcW w:type="dxa" w:w="468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The whole application as one file with the city data bundled. No network, no install, no account.</w:t>
            </w:r>
          </w:p>
        </w:tc>
        <w:tc>
          <w:tcPr>
            <w:tcW w:type="dxa" w:w="346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Exercises, training, field use where connectivity fails — which is exactly during an event</w:t>
            </w:r>
          </w:p>
        </w:tc>
      </w:tr>
      <w:tr>
        <w:trPr>
          <w:cantSplit/>
        </w:trPr>
        <w:tc>
          <w:tcPr>
            <w:tcW w:type="dxa" w:w="2036"/>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Static hosting</w:t>
            </w:r>
          </w:p>
        </w:tc>
        <w:tc>
          <w:tcPr>
            <w:tcW w:type="dxa" w:w="4683"/>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Served from any web host or an internal server. Shareable by link, with the context in the URL.</w:t>
            </w:r>
          </w:p>
        </w:tc>
        <w:tc>
          <w:tcPr>
            <w:tcW w:type="dxa" w:w="3461"/>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Day-to-day use across departments</w:t>
            </w:r>
          </w:p>
        </w:tc>
      </w:tr>
      <w:tr>
        <w:trPr>
          <w:cantSplit/>
        </w:trPr>
        <w:tc>
          <w:tcPr>
            <w:tcW w:type="dxa" w:w="2036"/>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Integrated in an ICCC</w:t>
            </w:r>
          </w:p>
        </w:tc>
        <w:tc>
          <w:tcPr>
            <w:tcW w:type="dxa" w:w="4683"/>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Connectors feed live telemetry; the engine moves server-side as the asset count grows.</w:t>
            </w:r>
          </w:p>
        </w:tc>
        <w:tc>
          <w:tcPr>
            <w:tcW w:type="dxa" w:w="3461"/>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Full operational deployment</w:t>
            </w:r>
          </w:p>
        </w:tc>
      </w:tr>
    </w:tbl>
    <w:p>
      <w:pPr>
        <w:spacing w:after="90" w:before="0" w:line="250"/>
      </w:pPr>
      <w:r>
        <w:rPr>
          <w:rFonts w:ascii="Calibri" w:cs="Calibri" w:eastAsia="Calibri" w:hAnsi="Calibri"/>
          <w:color w:val="14181D"/>
          <w:sz w:val="19"/>
          <w:szCs w:val="19"/>
        </w:rPr>
        <w:t xml:space="preserve">The first two modes work </w:t>
      </w:r>
      <w:r>
        <w:rPr>
          <w:rFonts w:ascii="Calibri" w:cs="Calibri" w:eastAsia="Calibri" w:hAnsi="Calibri"/>
          <w:b/>
          <w:bCs/>
          <w:color w:val="14181D"/>
          <w:sz w:val="19"/>
          <w:szCs w:val="19"/>
        </w:rPr>
        <w:t xml:space="preserve">today</w:t>
      </w:r>
      <w:r>
        <w:rPr>
          <w:rFonts w:ascii="Calibri" w:cs="Calibri" w:eastAsia="Calibri" w:hAnsi="Calibri"/>
          <w:color w:val="14181D"/>
          <w:sz w:val="19"/>
          <w:szCs w:val="19"/>
        </w:rPr>
        <w:t xml:space="preserve">, which is unusual for this class of system and is a direct consequence of having no backend. A city can evaluate the whole thing before committing to a single integration.</w:t>
      </w:r>
    </w:p>
    <w:p>
      <w:pPr>
        <w:spacing w:after="90" w:before="0"/>
      </w:pPr>
      <w:r>
        <w:rPr>
          <w:sz w:val="2"/>
          <w:szCs w:val="2"/>
        </w:rPr>
        <w:t xml:space="preserve"/>
      </w:r>
    </w:p>
    <w:p>
      <w:pPr>
        <w:pStyle w:val="Heading1"/>
        <w:pBdr>
          <w:bottom w:val="single" w:color="1F4E79" w:sz="10" w:space="3"/>
        </w:pBdr>
        <w:spacing w:after="110" w:before="170"/>
      </w:pPr>
      <w:r>
        <w:rPr>
          <w:rFonts w:ascii="Calibri" w:cs="Calibri" w:eastAsia="Calibri" w:hAnsi="Calibri"/>
          <w:b/>
          <w:bCs/>
          <w:color w:val="C9D2DC"/>
          <w:sz w:val="26"/>
          <w:szCs w:val="26"/>
        </w:rPr>
        <w:t xml:space="preserve">18  </w:t>
      </w:r>
      <w:r>
        <w:rPr>
          <w:rFonts w:ascii="Calibri" w:cs="Calibri" w:eastAsia="Calibri" w:hAnsi="Calibri"/>
          <w:b/>
          <w:bCs/>
          <w:color w:val="1F4E79"/>
          <w:sz w:val="26"/>
          <w:szCs w:val="26"/>
        </w:rPr>
        <w:t xml:space="preserve">Summary</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240"/>
        <w:gridCol w:w="7940"/>
      </w:tblGrid>
      <w:tr>
        <w:trPr>
          <w:cantSplit/>
          <w:tblHeader/>
        </w:trPr>
        <w:tc>
          <w:tcPr>
            <w:tcW w:type="dxa" w:w="224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7"/>
                <w:szCs w:val="17"/>
              </w:rPr>
              <w:t xml:space="preserve">Aspect</w:t>
            </w:r>
          </w:p>
        </w:tc>
        <w:tc>
          <w:tcPr>
            <w:tcW w:type="dxa" w:w="794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7"/>
                <w:szCs w:val="17"/>
              </w:rPr>
              <w:t xml:space="preserve">In one line</w:t>
            </w:r>
          </w:p>
        </w:tc>
      </w:tr>
      <w:tr>
        <w:trPr>
          <w:cantSplit/>
        </w:trPr>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Problem</w:t>
            </w:r>
          </w:p>
        </w:tc>
        <w:tc>
          <w:tcPr>
            <w:tcW w:type="dxa" w:w="79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Cities forecast each system separately. Nobody forecasts the handoffs, which is where the harm compounds — as Nagpur saw on 23 September 2023.</w:t>
            </w:r>
          </w:p>
        </w:tc>
      </w:tr>
      <w:tr>
        <w:trPr>
          <w:cantSplit/>
        </w:trPr>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Gap</w:t>
            </w:r>
          </w:p>
        </w:tc>
        <w:tc>
          <w:tcPr>
            <w:tcW w:type="dxa" w:w="79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Flood models stop at the water, SCADA at the meter, command centres at the wall of screens. The joining is left to a human at 3 a.m.</w:t>
            </w:r>
          </w:p>
        </w:tc>
      </w:tr>
      <w:tr>
        <w:trPr>
          <w:cantSplit/>
        </w:trPr>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Approach</w:t>
            </w:r>
          </w:p>
        </w:tc>
        <w:tc>
          <w:tcPr>
            <w:tcW w:type="dxa" w:w="79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One digital twin per city with a dependency graph learned from the sensor streams, a 200-member ensemble, a crisis registry, a counterfactual planner, and warnings in the city's own languages.</w:t>
            </w:r>
          </w:p>
        </w:tc>
      </w:tr>
      <w:tr>
        <w:trPr>
          <w:cantSplit/>
        </w:trPr>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Unique</w:t>
            </w:r>
          </w:p>
        </w:tc>
        <w:tc>
          <w:tcPr>
            <w:tcW w:type="dxa" w:w="79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We forecast transitions between systems, not states within them — and we price the delay. Nothing else states a decision deadline.</w:t>
            </w:r>
          </w:p>
        </w:tc>
      </w:tr>
      <w:tr>
        <w:trPr>
          <w:cantSplit/>
        </w:trPr>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Evidence</w:t>
            </w:r>
          </w:p>
        </w:tc>
        <w:tc>
          <w:tcPr>
            <w:tcW w:type="dxa" w:w="79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Seven scenarios, two cities, replay-validated with 16–23 hour median lead; 7 fake dependency links pruned; planted false reports rejected.</w:t>
            </w:r>
          </w:p>
        </w:tc>
      </w:tr>
      <w:tr>
        <w:trPr>
          <w:cantSplit/>
        </w:trPr>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Status</w:t>
            </w:r>
          </w:p>
        </w:tc>
        <w:tc>
          <w:tcPr>
            <w:tcW w:type="dxa" w:w="79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Working prototype, open to inspection, running in a browser with no server.</w:t>
            </w:r>
          </w:p>
        </w:tc>
      </w:tr>
      <w:tr>
        <w:trPr>
          <w:cantSplit/>
        </w:trPr>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Next</w:t>
            </w:r>
          </w:p>
        </w:tc>
        <w:tc>
          <w:tcPr>
            <w:tcW w:type="dxa" w:w="79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7"/>
                <w:szCs w:val="17"/>
              </w:rPr>
              <w:t xml:space="preserve">One live feed in Nagpur, verified against a real monsoon. That is the step that converts every number in this document from plausible to proven.</w:t>
            </w:r>
          </w:p>
        </w:tc>
      </w:tr>
    </w:tbl>
    <w:p>
      <w:pPr>
        <w:spacing w:after="110" w:before="0"/>
      </w:pPr>
      <w:r>
        <w:rPr>
          <w:sz w:val="2"/>
          <w:szCs w:val="2"/>
        </w:rPr>
        <w:t xml:space="preserve"/>
      </w:r>
    </w:p>
    <w:p>
      <w:pPr>
        <w:spacing w:after="25" w:before="50"/>
        <w:jc w:val="center"/>
      </w:pPr>
      <w:r>
        <w:drawing>
          <wp:inline distT="0" distB="0" distL="0" distR="0">
            <wp:extent cx="595312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53125" cy="3352800"/>
                    </a:xfrm>
                    <a:prstGeom prst="rect">
                      <a:avLst/>
                    </a:prstGeom>
                  </pic:spPr>
                </pic:pic>
              </a:graphicData>
            </a:graphic>
          </wp:inline>
        </w:drawing>
      </w:r>
    </w:p>
    <w:p>
      <w:pPr>
        <w:spacing w:after="130" w:before="40"/>
      </w:pPr>
      <w:r>
        <w:rPr>
          <w:rFonts w:ascii="Calibri" w:cs="Calibri" w:eastAsia="Calibri" w:hAnsi="Calibri"/>
          <w:i/>
          <w:iCs/>
          <w:color w:val="55616F"/>
          <w:sz w:val="15"/>
          <w:szCs w:val="15"/>
        </w:rPr>
        <w:t xml:space="preserve">The operations room with a facility selected: the inspector shows what drives its risk now, which upstream links carry it, sensor trust, and the forecast — all from data available at the issue time.</w:t>
      </w:r>
    </w:p>
    <w:p>
      <w:pPr>
        <w:spacing w:after="70" w:before="0"/>
      </w:pPr>
      <w:r>
        <w:rPr>
          <w:sz w:val="2"/>
          <w:szCs w:val="2"/>
        </w:rPr>
        <w:t xml:space="preserve"/>
      </w:r>
    </w:p>
    <w:p>
      <w:pPr>
        <w:pStyle w:val="Heading2"/>
        <w:spacing w:after="65" w:before="130"/>
      </w:pPr>
      <w:r>
        <w:rPr>
          <w:rFonts w:ascii="Calibri" w:cs="Calibri" w:eastAsia="Calibri" w:hAnsi="Calibri"/>
          <w:b/>
          <w:bCs/>
          <w:color w:val="14181D"/>
          <w:sz w:val="21"/>
          <w:szCs w:val="21"/>
        </w:rPr>
        <w:t xml:space="preserve">The prototype in numbers</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3460"/>
        <w:gridCol w:w="2240"/>
        <w:gridCol w:w="2240"/>
        <w:gridCol w:w="2240"/>
      </w:tblGrid>
      <w:tr>
        <w:trPr>
          <w:cantSplit/>
          <w:tblHeader/>
        </w:trPr>
        <w:tc>
          <w:tcPr>
            <w:tcW w:type="dxa" w:w="346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Measure</w:t>
            </w:r>
          </w:p>
        </w:tc>
        <w:tc>
          <w:tcPr>
            <w:tcW w:type="dxa" w:w="224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Nagpur</w:t>
            </w:r>
          </w:p>
        </w:tc>
        <w:tc>
          <w:tcPr>
            <w:tcW w:type="dxa" w:w="224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Raleigh</w:t>
            </w:r>
          </w:p>
        </w:tc>
        <w:tc>
          <w:tcPr>
            <w:tcW w:type="dxa" w:w="2240"/>
            <w:tcBorders>
              <w:top w:val="single" w:color="1F4E79" w:sz="4"/>
              <w:left w:val="single" w:color="1F4E79" w:sz="4"/>
              <w:bottom w:val="single" w:color="1F4E79" w:sz="4"/>
              <w:right w:val="single" w:color="1F4E79" w:sz="4"/>
            </w:tcBorders>
            <w:shd w:fill="1F4E79" w:color="auto" w:val="clear"/>
            <w:tcMar>
              <w:top w:type="dxa" w:w="55"/>
              <w:left w:type="dxa" w:w="95"/>
              <w:bottom w:type="dxa" w:w="55"/>
              <w:right w:type="dxa" w:w="95"/>
            </w:tcMar>
          </w:tcPr>
          <w:p>
            <w:pPr>
              <w:spacing w:after="0" w:before="0" w:line="235"/>
            </w:pPr>
            <w:r>
              <w:rPr>
                <w:rFonts w:ascii="Calibri" w:cs="Calibri" w:eastAsia="Calibri" w:hAnsi="Calibri"/>
                <w:b/>
                <w:bCs/>
                <w:color w:val="FFFFFF"/>
                <w:sz w:val="16"/>
                <w:szCs w:val="16"/>
              </w:rPr>
              <w:t xml:space="preserve">Note</w:t>
            </w:r>
          </w:p>
        </w:tc>
      </w:tr>
      <w:tr>
        <w:trPr>
          <w:cantSplit/>
        </w:trPr>
        <w:tc>
          <w:tcPr>
            <w:tcW w:type="dxa" w:w="346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Monitored facilities</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57</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44</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Nagpur adds a telecom layer</w:t>
            </w:r>
          </w:p>
        </w:tc>
      </w:tr>
      <w:tr>
        <w:trPr>
          <w:cantSplit/>
        </w:trPr>
        <w:tc>
          <w:tcPr>
            <w:tcW w:type="dxa" w:w="346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Candidate dependency links</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102</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71</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7 deliberately false in each</w:t>
            </w:r>
          </w:p>
        </w:tc>
      </w:tr>
      <w:tr>
        <w:trPr>
          <w:cantSplit/>
        </w:trPr>
        <w:tc>
          <w:tcPr>
            <w:tcW w:type="dxa" w:w="346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Residents in the modeled grid</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2.94 million</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454,000</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450 m cells</w:t>
            </w:r>
          </w:p>
        </w:tc>
      </w:tr>
      <w:tr>
        <w:trPr>
          <w:cantSplit/>
        </w:trPr>
        <w:tc>
          <w:tcPr>
            <w:tcW w:type="dxa" w:w="346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Scenarios</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7</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4</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One is a real-event reconstruction</w:t>
            </w:r>
          </w:p>
        </w:tc>
      </w:tr>
      <w:tr>
        <w:trPr>
          <w:cantSplit/>
        </w:trPr>
        <w:tc>
          <w:tcPr>
            <w:tcW w:type="dxa" w:w="346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Ensemble members × steps</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200 × 145</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200 × 145</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Half-hourly over 72 hours</w:t>
            </w:r>
          </w:p>
        </w:tc>
      </w:tr>
      <w:tr>
        <w:trPr>
          <w:cantSplit/>
        </w:trPr>
        <w:tc>
          <w:tcPr>
            <w:tcW w:type="dxa" w:w="346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Engine build time</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1.17 s</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0.91 s</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Once per city and scenario</w:t>
            </w:r>
          </w:p>
        </w:tc>
      </w:tr>
      <w:tr>
        <w:trPr>
          <w:cantSplit/>
        </w:trPr>
        <w:tc>
          <w:tcPr>
            <w:tcW w:type="dxa" w:w="346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Memory per engine</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34 MB</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27 MB</w:t>
            </w:r>
          </w:p>
        </w:tc>
        <w:tc>
          <w:tcPr>
            <w:tcW w:type="dxa" w:w="2240"/>
            <w:tcBorders>
              <w:top w:val="single" w:color="C9D2DC" w:sz="4"/>
              <w:left w:val="single" w:color="C9D2DC" w:sz="4"/>
              <w:bottom w:val="single" w:color="C9D2DC" w:sz="4"/>
              <w:right w:val="single" w:color="C9D2DC" w:sz="4"/>
            </w:tcBorders>
            <w:shd w:fill="FFFFFF"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Measured, not estimated</w:t>
            </w:r>
          </w:p>
        </w:tc>
      </w:tr>
      <w:tr>
        <w:trPr>
          <w:cantSplit/>
        </w:trPr>
        <w:tc>
          <w:tcPr>
            <w:tcW w:type="dxa" w:w="346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Median warning lead</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18.5–22.5 h</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16.5–23.0 h</w:t>
            </w:r>
          </w:p>
        </w:tc>
        <w:tc>
          <w:tcPr>
            <w:tcW w:type="dxa" w:w="2240"/>
            <w:tcBorders>
              <w:top w:val="single" w:color="C9D2DC" w:sz="4"/>
              <w:left w:val="single" w:color="C9D2DC" w:sz="4"/>
              <w:bottom w:val="single" w:color="C9D2DC" w:sz="4"/>
              <w:right w:val="single" w:color="C9D2DC" w:sz="4"/>
            </w:tcBorders>
            <w:shd w:fill="EEF3F8" w:color="auto" w:val="clear"/>
            <w:tcMar>
              <w:top w:type="dxa" w:w="55"/>
              <w:left w:type="dxa" w:w="95"/>
              <w:bottom w:type="dxa" w:w="55"/>
              <w:right w:type="dxa" w:w="95"/>
            </w:tcMar>
          </w:tcPr>
          <w:p>
            <w:pPr>
              <w:spacing w:after="0" w:before="0" w:line="235"/>
            </w:pPr>
            <w:r>
              <w:rPr>
                <w:rFonts w:ascii="Calibri" w:cs="Calibri" w:eastAsia="Calibri" w:hAnsi="Calibri"/>
                <w:color w:val="14181D"/>
                <w:sz w:val="16"/>
                <w:szCs w:val="16"/>
              </w:rPr>
              <w:t xml:space="preserve">Across replayed scenarios</w:t>
            </w:r>
          </w:p>
        </w:tc>
      </w:tr>
    </w:tbl>
    <w:p>
      <w:pPr>
        <w:spacing w:after="80" w:before="0"/>
      </w:pPr>
      <w:r>
        <w:rPr>
          <w:sz w:val="2"/>
          <w:szCs w:val="2"/>
        </w:rPr>
        <w:t xml:space="preserve"/>
      </w:r>
    </w:p>
    <w:p>
      <w:pPr>
        <w:spacing w:after="60" w:before="0"/>
      </w:pPr>
      <w:r>
        <w:rPr>
          <w:sz w:val="2"/>
          <w:szCs w:val="2"/>
        </w:rPr>
        <w:t xml:space="preserve"/>
      </w:r>
    </w:p>
    <w:p>
      <w:pPr>
        <w:pBdr>
          <w:top w:val="single" w:color="1F4E79" w:sz="10" w:space="6"/>
        </w:pBdr>
        <w:spacing w:after="0" w:before="90"/>
      </w:pPr>
      <w:r>
        <w:rPr>
          <w:rFonts w:ascii="Calibri" w:cs="Calibri" w:eastAsia="Calibri" w:hAnsi="Calibri"/>
          <w:i/>
          <w:iCs/>
          <w:color w:val="55616F"/>
          <w:sz w:val="15"/>
          <w:szCs w:val="15"/>
        </w:rPr>
        <w:t xml:space="preserve">Everything in this document is computed by the prototype described in it. Map data © OpenStreetMap contributors (ODbL); tiles © OpenMapTiles; rendering by MapLibre GL JS and three.js; textures by Poly Haven (CC0).</w:t>
      </w:r>
    </w:p>
    <w:sectPr>
      <w:headerReference w:type="default" r:id="rId7"/>
      <w:footerReference w:type="default" r:id="rId8"/>
      <w:pgSz w:w="11906" w:h="16838" w:orient="portrait"/>
      <w:pgMar w:top="863" w:right="863" w:bottom="648"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5616F"/>
        <w:sz w:val="14"/>
        <w:szCs w:val="14"/>
      </w:rPr>
      <w:t xml:space="preserve">Page </w:t>
    </w:r>
    <w:r>
      <w:rPr>
        <w:rFonts w:ascii="Calibri" w:cs="Calibri" w:eastAsia="Calibri" w:hAnsi="Calibri"/>
        <w:b/>
        <w:bCs/>
        <w:color w:val="55616F"/>
        <w:sz w:val="14"/>
        <w:szCs w:val="14"/>
      </w:rPr>
      <w:fldChar w:fldCharType="begin"/>
      <w:instrText xml:space="preserve">PAGE</w:instrText>
      <w:fldChar w:fldCharType="separate"/>
      <w:fldChar w:fldCharType="end"/>
    </w:r>
    <w:r>
      <w:rPr>
        <w:rFonts w:ascii="Calibri" w:cs="Calibri" w:eastAsia="Calibri" w:hAnsi="Calibri"/>
        <w:color w:val="55616F"/>
        <w:sz w:val="14"/>
        <w:szCs w:val="14"/>
      </w:rPr>
      <w:t xml:space="preserve"> of </w:t>
    </w:r>
    <w:r>
      <w:rPr>
        <w:rFonts w:ascii="Calibri" w:cs="Calibri" w:eastAsia="Calibri" w:hAnsi="Calibri"/>
        <w:color w:val="55616F"/>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C" w:sz="4" w:space="2"/>
      </w:pBdr>
      <w:spacing w:after="70"/>
    </w:pPr>
    <w:r>
      <w:rPr>
        <w:rFonts w:ascii="Calibri" w:cs="Calibri" w:eastAsia="Calibri" w:hAnsi="Calibri"/>
        <w:b/>
        <w:bCs/>
        <w:color w:val="55616F"/>
        <w:spacing w:val="40"/>
        <w:sz w:val="13"/>
        <w:szCs w:val="13"/>
      </w:rPr>
      <w:t xml:space="preserve">CASCADE INTELLIGENCE</w:t>
    </w:r>
    <w:r>
      <w:rPr>
        <w:rFonts w:ascii="Calibri" w:cs="Calibri" w:eastAsia="Calibri" w:hAnsi="Calibri"/>
        <w:color w:val="55616F"/>
        <w:sz w:val="13"/>
        <w:szCs w:val="13"/>
      </w:rPr>
      <w:t xml:space="preserve"> · The 72-Hour Warning · Nagpur &amp; Raleigh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D"/>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4E79"/>
      <w:sz w:val="26"/>
      <w:szCs w:val="26"/>
    </w:rPr>
  </w:style>
  <w:style w:type="paragraph" w:styleId="Heading2">
    <w:name w:val="Heading 2"/>
    <w:basedOn w:val="Normal"/>
    <w:next w:val="Normal"/>
    <w:qFormat/>
    <w:rPr>
      <w:rFonts w:ascii="Calibri" w:cs="Calibri" w:eastAsia="Calibri" w:hAnsi="Calibri"/>
      <w:b/>
      <w:bCs/>
      <w:color w:val="14181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2dd577752d8b8c254c7841198fc0338041cf40.png"/><Relationship Id="rId10" Type="http://schemas.openxmlformats.org/officeDocument/2006/relationships/image" Target="media/a7fcd46708876c89c65689e2d5d2b2bd7c7f2a99.png"/><Relationship Id="rId11" Type="http://schemas.openxmlformats.org/officeDocument/2006/relationships/image" Target="media/6a9e86fb41828ab9b6e9bc8dca3651de988bd70e.png"/><Relationship Id="rId12" Type="http://schemas.openxmlformats.org/officeDocument/2006/relationships/image" Target="media/09096968bd85b3a776ba8bcec4e7373c4003e6cf.png"/><Relationship Id="rId13" Type="http://schemas.openxmlformats.org/officeDocument/2006/relationships/image" Target="media/945bd008d01724a31c8717553c9110938ae1b870.png"/><Relationship Id="rId14" Type="http://schemas.openxmlformats.org/officeDocument/2006/relationships/image" Target="media/9ebb472509b5e636306c0305d5330b010289093c.png"/><Relationship Id="rId15" Type="http://schemas.openxmlformats.org/officeDocument/2006/relationships/image" Target="media/0b276254fe1d654c73963fb0d09f82dce096c0cd.png"/><Relationship Id="rId16" Type="http://schemas.openxmlformats.org/officeDocument/2006/relationships/image" Target="media/02c8b686fa0cfaae4eecc4b7f472fda394505ba4.png"/><Relationship Id="rId17" Type="http://schemas.openxmlformats.org/officeDocument/2006/relationships/image" Target="media/20965a640bea71aa99fee96992f085927e280a8c.png"/><Relationship Id="rId18" Type="http://schemas.openxmlformats.org/officeDocument/2006/relationships/image" Target="media/3dba9ea4fc535a2900417f095e8988666a976c14.png"/><Relationship Id="rId19" Type="http://schemas.openxmlformats.org/officeDocument/2006/relationships/image" Target="media/e14f1b37e29a75840a8fe58f3bc6530e5d14639f.png"/><Relationship Id="rId20" Type="http://schemas.openxmlformats.org/officeDocument/2006/relationships/image" Target="media/a8e3ca99ba4f0dccf611235f37a6f37885735fac.png"/><Relationship Id="rId21" Type="http://schemas.openxmlformats.org/officeDocument/2006/relationships/image" Target="media/f2e9d0f96b12669f381043f0a5a7d76babd87004.png"/><Relationship Id="rId22" Type="http://schemas.openxmlformats.org/officeDocument/2006/relationships/image" Target="media/60f559f042d9d7628fed5876ccdfa0a336999278.png"/><Relationship Id="rId23" Type="http://schemas.openxmlformats.org/officeDocument/2006/relationships/image" Target="media/08ac5540e115a7e2890bc460bf96b9bdee915cd2.png"/><Relationship Id="rId24" Type="http://schemas.openxmlformats.org/officeDocument/2006/relationships/image" Target="media/1b627ca5253536aea72b9bd52ec8545929ebdc7e.png"/><Relationship Id="rId25" Type="http://schemas.openxmlformats.org/officeDocument/2006/relationships/image" Target="media/9ab6bce5b02d34987e8825b1e569815bb76bd923.png"/><Relationship Id="rId26" Type="http://schemas.openxmlformats.org/officeDocument/2006/relationships/image" Target="media/3cff8c12e17e3b3512821cc002f50b221dc82094.png"/><Relationship Id="rId27" Type="http://schemas.openxmlformats.org/officeDocument/2006/relationships/image" Target="media/9809548b408fde4b751f37f87c68ee83914a261c.png"/><Relationship Id="rId28" Type="http://schemas.openxmlformats.org/officeDocument/2006/relationships/image" Target="media/85d757afe45ca2e65b59fced09ab1b98c6c76a86.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Cascade Intelligence — The 72-Hour Warning</dc:title>
  <dc:creator>Cascade Intelligence</dc:creator>
  <dc:description>Urban digital twin for crisis cascade prediction: problem, approach, technical design, impact and viability.</dc:description>
  <cp:lastModifiedBy>Un-named</cp:lastModifiedBy>
  <cp:revision>1</cp:revision>
  <dcterms:created xsi:type="dcterms:W3CDTF">2026-10-25T21:22:01.081Z</dcterms:created>
  <dcterms:modified xsi:type="dcterms:W3CDTF">2026-10-25T21:22:01.081Z</dcterms:modified>
</cp:coreProperties>
</file>

<file path=docProps/custom.xml><?xml version="1.0" encoding="utf-8"?>
<Properties xmlns="http://schemas.openxmlformats.org/officeDocument/2006/custom-properties" xmlns:vt="http://schemas.openxmlformats.org/officeDocument/2006/docPropsVTypes"/>
</file>