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Disaster Insights Originality Audit and Revision Report</w:t>
      </w:r>
    </w:p>
    <w:p>
      <w:r>
        <w:t>Project: Deep Learning-Based Early Detection and Classification of Climate-Induced Natural Disasters Using Satellite Imagery</w:t>
      </w:r>
    </w:p>
    <w:p>
      <w:r>
        <w:t>Application: Disaster Insights</w:t>
      </w:r>
    </w:p>
    <w:p>
      <w:r>
        <w:t>Scope note: The uploaded report documents flood detection as the implemented module. Drought and wildfire remain planned future extensions. The introduction was present in the supplied v8 document and was reviewed; no new project facts were added.</w:t>
      </w:r>
    </w:p>
    <w:p>
      <w:pPr>
        <w:pStyle w:val="Heading1"/>
      </w:pPr>
      <w:r>
        <w:rPr>
          <w:color w:val="000000"/>
        </w:rPr>
        <w:t>Overall Originality Risk Summary</w:t>
      </w:r>
    </w:p>
    <w:p>
      <w:r>
        <w:t>Overall risk: Medium. The report contains extensive project-specific material, implementation details, filenames, test evidence, and numerical results that read as original documentation of this system. The main risk is concentrated in introductory background, textbook definitions, feasibility language, and repeated “proposed system” phrasing. These passages use common academic structures and technical wording; the available web comparison found thematic or generic overlap, but no evidence sufficient to label the report definitely copied. No institutional plagiarism database was accessed.</w:t>
      </w:r>
    </w:p>
    <w:p>
      <w:r>
        <w:t>The revised report changes only the passages with a meaningful originality or project-specificity concern. Tables, code-oriented descriptions, implementation names, diagrams, metrics, and future-scope boundaries were preserved unless the surrounding prose required a clarity correction.</w:t>
      </w:r>
    </w:p>
    <w:p>
      <w:pPr>
        <w:pStyle w:val="Heading1"/>
      </w:pPr>
      <w:r>
        <w:rPr>
          <w:color w:val="000000"/>
        </w:rPr>
        <w:t>Audit Table</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2424"/>
            <w:shd w:fill="1F4E78"/>
          </w:tcPr>
          <w:p>
            <w:r>
              <w:rPr>
                <w:sz w:val="16"/>
              </w:rPr>
              <w:t>Chapter/Section</w:t>
            </w:r>
          </w:p>
        </w:tc>
        <w:tc>
          <w:tcPr>
            <w:tcW w:type="dxa" w:w="2424"/>
            <w:shd w:fill="1F4E78"/>
          </w:tcPr>
          <w:p>
            <w:r>
              <w:rPr>
                <w:sz w:val="16"/>
              </w:rPr>
              <w:t>Risk Level</w:t>
            </w:r>
          </w:p>
        </w:tc>
        <w:tc>
          <w:tcPr>
            <w:tcW w:type="dxa" w:w="2424"/>
            <w:shd w:fill="1F4E78"/>
          </w:tcPr>
          <w:p>
            <w:r>
              <w:rPr>
                <w:sz w:val="16"/>
              </w:rPr>
              <w:t>Original Passage</w:t>
            </w:r>
          </w:p>
        </w:tc>
        <w:tc>
          <w:tcPr>
            <w:tcW w:type="dxa" w:w="2424"/>
            <w:shd w:fill="1F4E78"/>
          </w:tcPr>
          <w:p>
            <w:r>
              <w:rPr>
                <w:sz w:val="16"/>
              </w:rPr>
              <w:t>Issue</w:t>
            </w:r>
          </w:p>
        </w:tc>
        <w:tc>
          <w:tcPr>
            <w:tcW w:type="dxa" w:w="2424"/>
            <w:shd w:fill="1F4E78"/>
          </w:tcPr>
          <w:p>
            <w:r>
              <w:rPr>
                <w:sz w:val="16"/>
              </w:rPr>
              <w:t>Suggested Rewrite</w:t>
            </w:r>
          </w:p>
        </w:tc>
        <w:tc>
          <w:tcPr>
            <w:tcW w:type="dxa" w:w="2424"/>
            <w:shd w:fill="1F4E78"/>
          </w:tcPr>
          <w:p>
            <w:r>
              <w:rPr>
                <w:sz w:val="16"/>
              </w:rPr>
              <w:t>Source/Similarity Evidence</w:t>
            </w:r>
          </w:p>
        </w:tc>
      </w:tr>
      <w:tr>
        <w:tc>
          <w:tcPr>
            <w:tcW w:type="dxa" w:w="2424"/>
            <w:vAlign w:val="top"/>
          </w:tcPr>
          <w:p>
            <w:r>
              <w:rPr>
                <w:sz w:val="16"/>
              </w:rPr>
              <w:t>Chapter 1, Background and Motivation</w:t>
            </w:r>
          </w:p>
        </w:tc>
        <w:tc>
          <w:tcPr>
            <w:tcW w:type="dxa" w:w="2424"/>
            <w:vAlign w:val="top"/>
          </w:tcPr>
          <w:p>
            <w:r>
              <w:rPr>
                <w:sz w:val="16"/>
              </w:rPr>
              <w:t>Medium</w:t>
            </w:r>
          </w:p>
        </w:tc>
        <w:tc>
          <w:tcPr>
            <w:tcW w:type="dxa" w:w="2424"/>
            <w:vAlign w:val="top"/>
          </w:tcPr>
          <w:p>
            <w:r>
              <w:rPr>
                <w:sz w:val="16"/>
              </w:rPr>
              <w:t>Climate-change impact, traditional monitoring, satellite sensing, and deep-learning background paragraphs</w:t>
            </w:r>
          </w:p>
        </w:tc>
        <w:tc>
          <w:tcPr>
            <w:tcW w:type="dxa" w:w="2424"/>
            <w:vAlign w:val="top"/>
          </w:tcPr>
          <w:p>
            <w:r>
              <w:rPr>
                <w:sz w:val="16"/>
              </w:rPr>
              <w:t>Broad academic framing and stock explanatory sequence; distinctive claims were not supported by in-document citations.</w:t>
            </w:r>
          </w:p>
        </w:tc>
        <w:tc>
          <w:tcPr>
            <w:tcW w:type="dxa" w:w="2424"/>
            <w:vAlign w:val="top"/>
          </w:tcPr>
          <w:p>
            <w:r>
              <w:rPr>
                <w:sz w:val="16"/>
              </w:rPr>
              <w:t>Rewritten around the actual Disaster Insights workflow and its image-level flood-classification scope.</w:t>
            </w:r>
          </w:p>
        </w:tc>
        <w:tc>
          <w:tcPr>
            <w:tcW w:type="dxa" w:w="2424"/>
            <w:vAlign w:val="top"/>
          </w:tcPr>
          <w:p>
            <w:r>
              <w:rPr>
                <w:sz w:val="16"/>
              </w:rPr>
              <w:t>Search comparison showed only broad thematic overlap with general climate/disaster sources; no exact match established.</w:t>
            </w:r>
          </w:p>
        </w:tc>
      </w:tr>
      <w:tr>
        <w:tc>
          <w:tcPr>
            <w:tcW w:type="dxa" w:w="2424"/>
            <w:vAlign w:val="top"/>
          </w:tcPr>
          <w:p>
            <w:r>
              <w:rPr>
                <w:sz w:val="16"/>
              </w:rPr>
              <w:t>Chapter 1, Climate-Induced Natural Disasters</w:t>
            </w:r>
          </w:p>
        </w:tc>
        <w:tc>
          <w:tcPr>
            <w:tcW w:type="dxa" w:w="2424"/>
            <w:vAlign w:val="top"/>
          </w:tcPr>
          <w:p>
            <w:r>
              <w:rPr>
                <w:sz w:val="16"/>
              </w:rPr>
              <w:t>Medium</w:t>
            </w:r>
          </w:p>
        </w:tc>
        <w:tc>
          <w:tcPr>
            <w:tcW w:type="dxa" w:w="2424"/>
            <w:vAlign w:val="top"/>
          </w:tcPr>
          <w:p>
            <w:r>
              <w:rPr>
                <w:sz w:val="16"/>
              </w:rPr>
              <w:t>Definitions of flood, drought, and wildfire</w:t>
            </w:r>
          </w:p>
        </w:tc>
        <w:tc>
          <w:tcPr>
            <w:tcW w:type="dxa" w:w="2424"/>
            <w:vAlign w:val="top"/>
          </w:tcPr>
          <w:p>
            <w:r>
              <w:rPr>
                <w:sz w:val="16"/>
              </w:rPr>
              <w:t>Textbook-style definitions may resemble common educational sources.</w:t>
            </w:r>
          </w:p>
        </w:tc>
        <w:tc>
          <w:tcPr>
            <w:tcW w:type="dxa" w:w="2424"/>
            <w:vAlign w:val="top"/>
          </w:tcPr>
          <w:p>
            <w:r>
              <w:rPr>
                <w:sz w:val="16"/>
              </w:rPr>
              <w:t>Definitions now state why each hazard matters to this project and explicitly separate implemented flood work from future scope.</w:t>
            </w:r>
          </w:p>
        </w:tc>
        <w:tc>
          <w:tcPr>
            <w:tcW w:type="dxa" w:w="2424"/>
            <w:vAlign w:val="top"/>
          </w:tcPr>
          <w:p>
            <w:r>
              <w:rPr>
                <w:sz w:val="16"/>
              </w:rPr>
              <w:t>Generic technical language; no definite source attribution.</w:t>
            </w:r>
          </w:p>
        </w:tc>
      </w:tr>
      <w:tr>
        <w:tc>
          <w:tcPr>
            <w:tcW w:type="dxa" w:w="2424"/>
            <w:vAlign w:val="top"/>
          </w:tcPr>
          <w:p>
            <w:r>
              <w:rPr>
                <w:sz w:val="16"/>
              </w:rPr>
              <w:t>Chapter 1, Need for the Project and Problem Definition</w:t>
            </w:r>
          </w:p>
        </w:tc>
        <w:tc>
          <w:tcPr>
            <w:tcW w:type="dxa" w:w="2424"/>
            <w:vAlign w:val="top"/>
          </w:tcPr>
          <w:p>
            <w:r>
              <w:rPr>
                <w:sz w:val="16"/>
              </w:rPr>
              <w:t>Medium</w:t>
            </w:r>
          </w:p>
        </w:tc>
        <w:tc>
          <w:tcPr>
            <w:tcW w:type="dxa" w:w="2424"/>
            <w:vAlign w:val="top"/>
          </w:tcPr>
          <w:p>
            <w:r>
              <w:rPr>
                <w:sz w:val="16"/>
              </w:rPr>
              <w:t>Statements about existing systems and the project gap</w:t>
            </w:r>
          </w:p>
        </w:tc>
        <w:tc>
          <w:tcPr>
            <w:tcW w:type="dxa" w:w="2424"/>
            <w:vAlign w:val="top"/>
          </w:tcPr>
          <w:p>
            <w:r>
              <w:rPr>
                <w:sz w:val="16"/>
              </w:rPr>
              <w:t>Repeated proposal-style wording such as “addresses these gaps” and broad claims about other systems.</w:t>
            </w:r>
          </w:p>
        </w:tc>
        <w:tc>
          <w:tcPr>
            <w:tcW w:type="dxa" w:w="2424"/>
            <w:vAlign w:val="top"/>
          </w:tcPr>
          <w:p>
            <w:r>
              <w:rPr>
                <w:sz w:val="16"/>
              </w:rPr>
              <w:t>Rewritten to describe the concrete local prototype and its actual user workflow.</w:t>
            </w:r>
          </w:p>
        </w:tc>
        <w:tc>
          <w:tcPr>
            <w:tcW w:type="dxa" w:w="2424"/>
            <w:vAlign w:val="top"/>
          </w:tcPr>
          <w:p>
            <w:r>
              <w:rPr>
                <w:sz w:val="16"/>
              </w:rPr>
              <w:t>No exact phrase match found in the available search results.</w:t>
            </w:r>
          </w:p>
        </w:tc>
      </w:tr>
      <w:tr>
        <w:tc>
          <w:tcPr>
            <w:tcW w:type="dxa" w:w="2424"/>
            <w:vAlign w:val="top"/>
          </w:tcPr>
          <w:p>
            <w:r>
              <w:rPr>
                <w:sz w:val="16"/>
              </w:rPr>
              <w:t>Chapter 2, Feasibility and Operational Feasibility</w:t>
            </w:r>
          </w:p>
        </w:tc>
        <w:tc>
          <w:tcPr>
            <w:tcW w:type="dxa" w:w="2424"/>
            <w:vAlign w:val="top"/>
          </w:tcPr>
          <w:p>
            <w:r>
              <w:rPr>
                <w:sz w:val="16"/>
              </w:rPr>
              <w:t>Low-Medium</w:t>
            </w:r>
          </w:p>
        </w:tc>
        <w:tc>
          <w:tcPr>
            <w:tcW w:type="dxa" w:w="2424"/>
            <w:vAlign w:val="top"/>
          </w:tcPr>
          <w:p>
            <w:r>
              <w:rPr>
                <w:sz w:val="16"/>
              </w:rPr>
              <w:t>Generic feasibility rationale and end-user description</w:t>
            </w:r>
          </w:p>
        </w:tc>
        <w:tc>
          <w:tcPr>
            <w:tcW w:type="dxa" w:w="2424"/>
            <w:vAlign w:val="top"/>
          </w:tcPr>
          <w:p>
            <w:r>
              <w:rPr>
                <w:sz w:val="16"/>
              </w:rPr>
              <w:t>Common academic feasibility template language.</w:t>
            </w:r>
          </w:p>
        </w:tc>
        <w:tc>
          <w:tcPr>
            <w:tcW w:type="dxa" w:w="2424"/>
            <w:vAlign w:val="top"/>
          </w:tcPr>
          <w:p>
            <w:r>
              <w:rPr>
                <w:sz w:val="16"/>
              </w:rPr>
              <w:t>Rewritten using the actual stack, APIs, local deployment, and interaction flow.</w:t>
            </w:r>
          </w:p>
        </w:tc>
        <w:tc>
          <w:tcPr>
            <w:tcW w:type="dxa" w:w="2424"/>
            <w:vAlign w:val="top"/>
          </w:tcPr>
          <w:p>
            <w:r>
              <w:rPr>
                <w:sz w:val="16"/>
              </w:rPr>
              <w:t>Generic/common technical wording.</w:t>
            </w:r>
          </w:p>
        </w:tc>
      </w:tr>
      <w:tr>
        <w:tc>
          <w:tcPr>
            <w:tcW w:type="dxa" w:w="2424"/>
            <w:vAlign w:val="top"/>
          </w:tcPr>
          <w:p>
            <w:r>
              <w:rPr>
                <w:sz w:val="16"/>
              </w:rPr>
              <w:t>Chapter 6, Grad-CAM explanation</w:t>
            </w:r>
          </w:p>
        </w:tc>
        <w:tc>
          <w:tcPr>
            <w:tcW w:type="dxa" w:w="2424"/>
            <w:vAlign w:val="top"/>
          </w:tcPr>
          <w:p>
            <w:r>
              <w:rPr>
                <w:sz w:val="16"/>
              </w:rPr>
              <w:t>Low</w:t>
            </w:r>
          </w:p>
        </w:tc>
        <w:tc>
          <w:tcPr>
            <w:tcW w:type="dxa" w:w="2424"/>
            <w:vAlign w:val="top"/>
          </w:tcPr>
          <w:p>
            <w:r>
              <w:rPr>
                <w:sz w:val="16"/>
              </w:rPr>
              <w:t>General description of Grad-CAM</w:t>
            </w:r>
          </w:p>
        </w:tc>
        <w:tc>
          <w:tcPr>
            <w:tcW w:type="dxa" w:w="2424"/>
            <w:vAlign w:val="top"/>
          </w:tcPr>
          <w:p>
            <w:r>
              <w:rPr>
                <w:sz w:val="16"/>
              </w:rPr>
              <w:t>Standard method description; similarity is expected for a named algorithm.</w:t>
            </w:r>
          </w:p>
        </w:tc>
        <w:tc>
          <w:tcPr>
            <w:tcW w:type="dxa" w:w="2424"/>
            <w:vAlign w:val="top"/>
          </w:tcPr>
          <w:p>
            <w:r>
              <w:rPr>
                <w:sz w:val="16"/>
              </w:rPr>
              <w:t>No unnecessary synonym replacement. Existing caveat that Grad-CAM is qualitative evidence was retained.</w:t>
            </w:r>
          </w:p>
        </w:tc>
        <w:tc>
          <w:tcPr>
            <w:tcW w:type="dxa" w:w="2424"/>
            <w:vAlign w:val="top"/>
          </w:tcPr>
          <w:p>
            <w:r>
              <w:rPr>
                <w:sz w:val="16"/>
              </w:rPr>
              <w:t>Common technical explanation; method terminology must remain stable.</w:t>
            </w:r>
          </w:p>
        </w:tc>
      </w:tr>
      <w:tr>
        <w:tc>
          <w:tcPr>
            <w:tcW w:type="dxa" w:w="2424"/>
            <w:vAlign w:val="top"/>
          </w:tcPr>
          <w:p>
            <w:r>
              <w:rPr>
                <w:sz w:val="16"/>
              </w:rPr>
              <w:t>Chapter 10, Conclusion</w:t>
            </w:r>
          </w:p>
        </w:tc>
        <w:tc>
          <w:tcPr>
            <w:tcW w:type="dxa" w:w="2424"/>
            <w:vAlign w:val="top"/>
          </w:tcPr>
          <w:p>
            <w:r>
              <w:rPr>
                <w:sz w:val="16"/>
              </w:rPr>
              <w:t>Medium</w:t>
            </w:r>
          </w:p>
        </w:tc>
        <w:tc>
          <w:tcPr>
            <w:tcW w:type="dxa" w:w="2424"/>
            <w:vAlign w:val="top"/>
          </w:tcPr>
          <w:p>
            <w:r>
              <w:rPr>
                <w:sz w:val="16"/>
              </w:rPr>
              <w:t>Achievement and conclusion paragraphs</w:t>
            </w:r>
          </w:p>
        </w:tc>
        <w:tc>
          <w:tcPr>
            <w:tcW w:type="dxa" w:w="2424"/>
            <w:vAlign w:val="top"/>
          </w:tcPr>
          <w:p>
            <w:r>
              <w:rPr>
                <w:sz w:val="16"/>
              </w:rPr>
              <w:t>Formulaic “successfully developed” and “demonstrates feasibility” phrasing repeated earlier.</w:t>
            </w:r>
          </w:p>
        </w:tc>
        <w:tc>
          <w:tcPr>
            <w:tcW w:type="dxa" w:w="2424"/>
            <w:vAlign w:val="top"/>
          </w:tcPr>
          <w:p>
            <w:r>
              <w:rPr>
                <w:sz w:val="16"/>
              </w:rPr>
              <w:t>Rewritten to summarize the implemented pipeline and limitations without strengthening claims.</w:t>
            </w:r>
          </w:p>
        </w:tc>
        <w:tc>
          <w:tcPr>
            <w:tcW w:type="dxa" w:w="2424"/>
            <w:vAlign w:val="top"/>
          </w:tcPr>
          <w:p>
            <w:r>
              <w:rPr>
                <w:sz w:val="16"/>
              </w:rPr>
              <w:t>Repetition within the report, not evidence of external copying.</w:t>
            </w:r>
          </w:p>
        </w:tc>
      </w:tr>
    </w:tbl>
    <w:p>
      <w:pPr>
        <w:pStyle w:val="Heading1"/>
      </w:pPr>
      <w:r>
        <w:rPr>
          <w:color w:val="000000"/>
        </w:rPr>
        <w:t>Complete Rewritten Passages</w:t>
      </w:r>
    </w:p>
    <w:p>
      <w:r>
        <w:t>The revised DOCX contains the following targeted rewrites in chapter order:</w:t>
      </w:r>
    </w:p>
    <w:p>
      <w:pPr>
        <w:pStyle w:val="Heading3"/>
      </w:pPr>
      <w:r>
        <w:rPr>
          <w:color w:val="000000"/>
        </w:rPr>
        <w:t>Rewritten passage</w:t>
      </w:r>
    </w:p>
    <w:p>
      <w:r>
        <w:t>Original: Natural disasters driven by climate change have become more frequent and more severe over the past several decades. According to international disaster databases, floods alone account for the largest share of weather-related disasters globally, affecting hundreds of millions of people each year. The damage caused by floods includes loss of life, destruction of homes and infrastructure, contamination of water supplies, and long-term economic disruption to affected communities.</w:t>
      </w:r>
    </w:p>
    <w:p>
      <w:r>
        <w:t>Revised: Flooding is a practical and urgent use case for this project because a single event can disrupt homes, roads, agriculture, water supplies, and local services at the same time. Climate-related changes can increase the likelihood or severity of such events, so responders need information that covers a wide area and can be produced quickly. Disaster Insights is designed around that assessment need.</w:t>
      </w:r>
    </w:p>
    <w:p>
      <w:pPr>
        <w:pStyle w:val="Heading3"/>
      </w:pPr>
      <w:r>
        <w:rPr>
          <w:color w:val="000000"/>
        </w:rPr>
        <w:t>Rewritten passage</w:t>
      </w:r>
    </w:p>
    <w:p>
      <w:r>
        <w:t>Original: Traditional methods of monitoring and assessing floods rely on ground-based observations, manual field surveys, and reports from affected areas. These methods, while important, have significant limitations. Ground-based observations cannot cover large areas simultaneously. Field surveys take time to organise and conduct, often arriving after the critical initial hours of a flood event. Reports from affected communities may be delayed or incomplete, particularly in remote or rural areas where communication infrastructure may be damaged by the disaster itself.</w:t>
      </w:r>
    </w:p>
    <w:p>
      <w:r>
        <w:t>Revised: Flood information is commonly gathered from field observations, surveys, and reports from people in the affected area. Those sources remain valuable, but they do not provide the same coverage or speed everywhere. Access can be difficult during an event, field teams need time to reach the site, and reports from remote areas may be incomplete. These constraints motivate the use of satellite imagery as an additional source of evidence rather than a replacement for official response work.</w:t>
      </w:r>
    </w:p>
    <w:p>
      <w:pPr>
        <w:pStyle w:val="Heading3"/>
      </w:pPr>
      <w:r>
        <w:rPr>
          <w:color w:val="000000"/>
        </w:rPr>
        <w:t>Rewritten passage</w:t>
      </w:r>
    </w:p>
    <w:p>
      <w:r>
        <w:t>Original: Satellite remote sensing offers a fundamentally different approach. Earth observation satellites orbit the planet continuously, capturing images of the surface at regular intervals. The European Space Agency's Sentinel-2 constellation, part of the Copernicus programme, provides free, high-resolution optical imagery with a spatial resolution of 10 metres per pixel in visible bands and a revisit frequency of approximately five days. This means that for any location on Earth, a new satellite image is available roughly every five days.</w:t>
      </w:r>
    </w:p>
    <w:p>
      <w:r>
        <w:t>Revised: Satellite imagery gives the application a repeatable view of a selected area without requiring a field visit. In this project, Sentinel-2 imagery from the Copernicus programme is used because it is openly available, includes 10 m visible-band data, and normally revisits a location at roughly five-day intervals. The revisit interval and cloud cover still limit how current and complete an image can be, which is why those limitations are recorded later in the report.</w:t>
      </w:r>
    </w:p>
    <w:p>
      <w:pPr>
        <w:pStyle w:val="Heading3"/>
      </w:pPr>
      <w:r>
        <w:rPr>
          <w:color w:val="000000"/>
        </w:rPr>
        <w:t>Rewritten passage</w:t>
      </w:r>
    </w:p>
    <w:p>
      <w:r>
        <w:t>Original: When these satellite images are combined with deep learning, a branch of artificial intelligence that uses neural networks to automatically learn patterns from data, it becomes possible to build systems that can assess whether a given area appears to be flooded based on the visual appearance of the satellite imagery. The neural network learns to recognise the visual signatures of flood water, such as unusual surface reflectance patterns, standing water, and inundated land, by training on a labelled dataset of satellite images where the flood extent has been manually marked.</w:t>
      </w:r>
    </w:p>
    <w:p>
      <w:r>
        <w:t>Revised: The model in Disaster Insights learns a two-class decision from labelled satellite images: flood or non-flood. It receives the RGB image prepared by the data pipeline and learns visual patterns associated with the labels derived from the WorldFloods v2 masks. The output is therefore an image-level assessment; it is not a measurement of the exact flood boundary in every pixel.</w:t>
      </w:r>
    </w:p>
    <w:p>
      <w:pPr>
        <w:pStyle w:val="Heading3"/>
      </w:pPr>
      <w:r>
        <w:rPr>
          <w:color w:val="000000"/>
        </w:rPr>
        <w:t>Rewritten passage</w:t>
      </w:r>
    </w:p>
    <w:p>
      <w:r>
        <w:t>Original: Climate-induced natural disasters are events whose frequency, intensity, or geographic scope is influenced by changes in the Earth's climate system. The three primary categories relevant to this project are floods, droughts, and wildfires.</w:t>
      </w:r>
    </w:p>
    <w:p>
      <w:r>
        <w:t>Revised: For this report, the term climate-induced disaster refers to a hazard whose likelihood, intensity, or affected area can be influenced by climate conditions. The project is framed around three hazard types: flood, drought, and wildfire. Only the flood assessment module is implemented in the current system.</w:t>
      </w:r>
    </w:p>
    <w:p>
      <w:pPr>
        <w:pStyle w:val="Heading3"/>
      </w:pPr>
      <w:r>
        <w:rPr>
          <w:color w:val="000000"/>
        </w:rPr>
        <w:t>Rewritten passage</w:t>
      </w:r>
    </w:p>
    <w:p>
      <w:r>
        <w:t>Original: Floods are the most common natural disaster worldwide. They occur when water overflows onto normally dry land, typically caused by heavy rainfall, rapid snowmelt, storm surges, or dam failures. Climate change increases flood risk through multiple mechanisms: warmer air holds more moisture, leading to more intense rainfall events; accelerated glacial and snowpack melt increases river flows; and rising sea levels make coastal areas more vulnerable to storm surges.</w:t>
      </w:r>
    </w:p>
    <w:p>
      <w:r>
        <w:t>Revised: A flood occurs when water covers land that is normally dry. In the situations relevant to this project, heavy rainfall, snowmelt, storm surge, or infrastructure failure can produce that condition. Warmer conditions and changing rainfall patterns can increase exposure in some regions, but the application itself does not model climate causes; it classifies the appearance of the supplied satellite image.</w:t>
      </w:r>
    </w:p>
    <w:p>
      <w:pPr>
        <w:pStyle w:val="Heading3"/>
      </w:pPr>
      <w:r>
        <w:rPr>
          <w:color w:val="000000"/>
        </w:rPr>
        <w:t>Rewritten passage</w:t>
      </w:r>
    </w:p>
    <w:p>
      <w:r>
        <w:t>Original: Droughts involve prolonged periods of abnormally low precipitation, leading to water scarcity, agricultural failure, and ecosystem degradation. Climate change is altering precipitation patterns globally, making some regions more prone to extended dry periods. Drought is fundamentally different from flooding because it develops gradually over weeks or months rather than occurring as a sudden event.</w:t>
      </w:r>
    </w:p>
    <w:p>
      <w:r>
        <w:t>Revised: Drought is a longer-term shortage of water associated with below-normal precipitation and its effects on vegetation, farming, and ecosystems. Unlike the image-level flood decision implemented here, drought assessment would need time-series information and location-specific historical reference data. It is therefore retained as future scope.</w:t>
      </w:r>
    </w:p>
    <w:p>
      <w:pPr>
        <w:pStyle w:val="Heading3"/>
      </w:pPr>
      <w:r>
        <w:rPr>
          <w:color w:val="000000"/>
        </w:rPr>
        <w:t>Rewritten passage</w:t>
      </w:r>
    </w:p>
    <w:p>
      <w:r>
        <w:t>Original: Wildfires are uncontrolled fires that consume vegetation and can threaten human settlements. Rising temperatures, reduced humidity, and altered wind patterns create conditions that favour more frequent and severe wildfire events. Wildfire detection from satellite imagery typically requires thermal or short-wave infrared bands rather than the visible-light bands primarily used for flood detection.</w:t>
      </w:r>
    </w:p>
    <w:p>
      <w:r>
        <w:t>Revised: Wildfire work would involve a different visual and spectral problem from the current flood classifier. Active fire detection generally depends on thermal or short-wave infrared evidence, while burned-area mapping uses post-fire surface changes. The present model and training pipeline do not implement either task, so wildfire assessment remains a planned extension.</w:t>
      </w:r>
    </w:p>
    <w:p>
      <w:pPr>
        <w:pStyle w:val="Heading3"/>
      </w:pPr>
      <w:r>
        <w:rPr>
          <w:color w:val="000000"/>
        </w:rPr>
        <w:t>Rewritten passage</w:t>
      </w:r>
    </w:p>
    <w:p>
      <w:r>
        <w:t>Original: Existing satellite-based flood monitoring systems are typically operated by governmental agencies or large international organisations with substantial infrastructure and specialised staff. These systems often rely on expensive SAR (Synthetic Aperture Radar) satellite data that requires specialised processing expertise. They use proprietary software and closed platforms that are not accessible to general users or students. They provide delayed outputs due to manual interpretation steps in the analysis workflow. They lack transparency regarding how flood assessments are derived from the raw satellite data.</w:t>
      </w:r>
    </w:p>
    <w:p>
      <w:r>
        <w:t>Revised: Many operational flood-monitoring services are built for agencies with specialist staff, established data pipelines, and access to radar or other large-scale Earth-observation resources. That setting is different from a student project that must be installable, explainable, and demonstrable on one laptop. Disaster Insights addresses the smaller prototype problem: selecting a location, obtaining an image, running a flood classifier, and showing the image and Grad-CAM output through a web interface.</w:t>
      </w:r>
    </w:p>
    <w:p>
      <w:pPr>
        <w:pStyle w:val="Heading3"/>
      </w:pPr>
      <w:r>
        <w:rPr>
          <w:color w:val="000000"/>
        </w:rPr>
        <w:t>Rewritten passage</w:t>
      </w:r>
    </w:p>
    <w:p>
      <w:r>
        <w:t>Original: This project addresses these gaps by providing an open, explainable, and accessible flood assessment tool built entirely on freely available satellite data and open-source deep learning frameworks. While the system does not replace official disaster warning mechanisms and includes a clear disclaimer to that effect, it demonstrates the feasibility of AI-based flood assessment and serves as a working prototype.</w:t>
      </w:r>
    </w:p>
    <w:p>
      <w:r>
        <w:t>Revised: The result is a local prototype built with open data and open-source software. It makes the processing steps visible through the returned image, prediction, risk label, and qualitative Grad-CAM overlay. It is intended for learning and demonstration, not as a replacement for official warnings or emergency-management decisions.</w:t>
      </w:r>
    </w:p>
    <w:p>
      <w:pPr>
        <w:pStyle w:val="Heading3"/>
      </w:pPr>
      <w:r>
        <w:rPr>
          <w:color w:val="000000"/>
        </w:rPr>
        <w:t>Rewritten passage</w:t>
      </w:r>
    </w:p>
    <w:p>
      <w:r>
        <w:t>Original: The problem that this project addresses is: How can we build an accessible, explainable, and demonstrable flood assessment tool that processes satellite imagery using deep learning and presents results through an interactive web interface, while providing visual evidence of the model's reasoning?</w:t>
      </w:r>
    </w:p>
    <w:p>
      <w:r>
        <w:t>Revised: The project asks how a small, locally deployable system can turn a selected location and satellite image into an understandable flood assessment. The system must connect image acquisition, preprocessing, EfficientNet-B0 inference, Grad-CAM generation, and web presentation while making clear that the result is an AI estimate rather than an official warning.</w:t>
      </w:r>
    </w:p>
    <w:p>
      <w:pPr>
        <w:pStyle w:val="Heading3"/>
      </w:pPr>
      <w:r>
        <w:rPr>
          <w:color w:val="000000"/>
        </w:rPr>
        <w:t>Rewritten passage</w:t>
      </w:r>
    </w:p>
    <w:p>
      <w:r>
        <w:t>Original: The project is technically feasible because all required tools, frameworks, and data sources are freely available and well-documented. PyTorch provides the deep learning framework with pre-trained EfficientNet-B0 models available through the torchvision library. FastAPI offers a high-performance Python web server with automatic request validation and OpenAPI documentation generation. React and Vite provide a modern frontend development environment with hot module replacement for rapid development. Sentinel-2 data is freely accessible through the Copernicus Data Space Ecosystem with a documented REST API. The WorldFloods v2 dataset provides publicly available labelled training data specifically designed for flood detection from satellite imagery.</w:t>
      </w:r>
    </w:p>
    <w:p>
      <w:r>
        <w:t>Revised: The implementation is feasible on the available setup because each required component has a usable open-source option. PyTorch and torchvision provide the EfficientNet-B0 model, FastAPI exposes the inference service, and React with Vite provides the browser interface. The satellite and weather integrations use documented external APIs, while WorldFloods v2 supplies labelled imagery for training and evaluation. These choices allow the project to be assembled and demonstrated without paid infrastructure.</w:t>
      </w:r>
    </w:p>
    <w:p>
      <w:pPr>
        <w:pStyle w:val="Heading3"/>
      </w:pPr>
      <w:r>
        <w:rPr>
          <w:color w:val="000000"/>
        </w:rPr>
        <w:t>Rewritten passage</w:t>
      </w:r>
    </w:p>
    <w:p>
      <w:r>
        <w:t>Original: The application requires minimal technical knowledge from end users. A user only needs to open the application in a web browser, select a location by clicking on a map or using geolocation, and click a button to receive a flood assessment. The glassmorphism UI design provides a modern and intuitive interface. The system can be demonstrated on any modern web browser (Chrome, Firefox, Edge) without installing any additional software on the viewer's machine.</w:t>
      </w:r>
    </w:p>
    <w:p>
      <w:r>
        <w:t>Revised: The intended interaction is deliberately short: open the local web application, choose a location, and start an assessment. The interface then presents the selected image, model output, risk label, and explanation. A demonstration browser does not need the Python or Node development tools installed, although the backend and frontend services must be running on the host computer.</w:t>
      </w:r>
    </w:p>
    <w:p>
      <w:pPr>
        <w:pStyle w:val="Heading3"/>
      </w:pPr>
      <w:r>
        <w:rPr>
          <w:color w:val="000000"/>
        </w:rPr>
        <w:t>Rewritten passage</w:t>
      </w:r>
    </w:p>
    <w:p>
      <w:r>
        <w:t>Original: This project successfully developed Disaster Insights, a web-based application for flood assessment using deep learning and satellite imagery. The application combines an EfficientNet-B0 classification model, Grad-CAM explainability, live Sentinel-2 satellite imagery from Copernicus, and contextual weather and air quality data into an integrated, user-friendly interface.</w:t>
      </w:r>
    </w:p>
    <w:p>
      <w:r>
        <w:t>Revised: Disaster Insights was completed as a local web prototype for image-level flood assessment. Its implemented path combines EfficientNet-B0, the WorldFloods v2 data pipeline, Grad-CAM, Copernicus Sentinel-2 retrieval, and Open-Meteo context data. The React and FastAPI layers expose that path through a single assessment workflow.</w:t>
      </w:r>
    </w:p>
    <w:p>
      <w:pPr>
        <w:pStyle w:val="Heading3"/>
      </w:pPr>
      <w:r>
        <w:rPr>
          <w:color w:val="000000"/>
        </w:rPr>
        <w:t>Rewritten passage</w:t>
      </w:r>
    </w:p>
    <w:p>
      <w:r>
        <w:t>Original: The flood assessment module demonstrates that transfer learning with a relatively small satellite imagery dataset can produce a model with strong classification performance on the evaluation set. The use of Grad-CAM adds a layer of interpretability that is important for any AI system making predictions about real-world events.</w:t>
      </w:r>
    </w:p>
    <w:p>
      <w:r>
        <w:t>Revised: On the documented test set, transfer learning produced strong classification scores, but the result must be read together with the class imbalance and the two non-flood test samples. Grad-CAM supplies qualitative evidence about image regions that contributed to a prediction; it does not verify that the highlighted regions are semantically correct.</w:t>
      </w:r>
    </w:p>
    <w:p>
      <w:pPr>
        <w:pStyle w:val="Heading3"/>
      </w:pPr>
      <w:r>
        <w:rPr>
          <w:color w:val="000000"/>
        </w:rPr>
        <w:t>Rewritten passage</w:t>
      </w:r>
    </w:p>
    <w:p>
      <w:r>
        <w:t>Original: The system is not a replacement for official disaster monitoring services, and the application clearly communicates this through disclaimers. It is a working prototype that demonstrates the feasibility of using freely available satellite data, open-source deep learning frameworks, and modern web technologies to create an accessible flood assessment tool.</w:t>
      </w:r>
    </w:p>
    <w:p>
      <w:r>
        <w:t>Revised: The application should be understood as a demonstrator of the complete processing workflow, not as an operational warning service. It shows that freely available imagery, an open-source model, and a local full-stack interface can be connected for flood assessment while leaving clear boundaries around reliability and deployment.</w:t>
      </w:r>
    </w:p>
    <w:p>
      <w:pPr>
        <w:pStyle w:val="Heading3"/>
      </w:pPr>
      <w:r>
        <w:rPr>
          <w:color w:val="000000"/>
        </w:rPr>
        <w:t>Rewritten passage</w:t>
      </w:r>
    </w:p>
    <w:p>
      <w:r>
        <w:t>Original: The primary limitations: dataset imbalance, cloud cover dependency, satellite revisit interval, image-level classification without boundary delineation, domain gap, small test set, and local-only deployment: are documented honestly and serve as clear directions for future improvement.</w:t>
      </w:r>
    </w:p>
    <w:p>
      <w:r>
        <w:t>Revised: The main limitations remain the imbalanced dataset, optical-image cloud cover, the satellite revisit interval, image-level rather than pixel-level output, domain shift, the small test set, and local-only deployment. These limitations define the next engineering steps and prevent the reported test results from being interpreted as broad real-world performance.</w:t>
      </w:r>
    </w:p>
    <w:p>
      <w:pPr>
        <w:pStyle w:val="Heading1"/>
      </w:pPr>
      <w:r>
        <w:rPr>
          <w:color w:val="000000"/>
        </w:rPr>
        <w:t>Document Consistency Report</w:t>
      </w:r>
    </w:p>
    <w:p>
      <w:pPr>
        <w:pStyle w:val="ListBullet"/>
      </w:pPr>
      <w:r>
        <w:t>Project title and application name are consistent: Disaster Insights is the application for the stated deep-learning and satellite-imagery project.</w:t>
      </w:r>
    </w:p>
    <w:p>
      <w:pPr>
        <w:pStyle w:val="ListBullet"/>
      </w:pPr>
      <w:r>
        <w:t>Flood detection is the only implemented disaster module. Drought and wildfire are consistently marked as not implemented and future scope.</w:t>
      </w:r>
    </w:p>
    <w:p>
      <w:pPr>
        <w:pStyle w:val="ListBullet"/>
      </w:pPr>
      <w:r>
        <w:t>EfficientNet-B0, WorldFloods v2, transfer learning, ImageNet weights, preprocessing, FastAPI, React, Sentinel Hub, Open-Meteo, Rasterio, PyTorch, and Grad-CAM terminology were preserved.</w:t>
      </w:r>
    </w:p>
    <w:p>
      <w:pPr>
        <w:pStyle w:val="ListBullet"/>
      </w:pPr>
      <w:r>
        <w:t>The required evaluation values remain unchanged: accuracy 98.15%, precision 98.11%, recall 100%, F1-score 99.05%, specificity 50%, TP 52, TN 1, FP 1, FN 0.</w:t>
      </w:r>
    </w:p>
    <w:p>
      <w:pPr>
        <w:pStyle w:val="ListBullet"/>
      </w:pPr>
      <w:r>
        <w:t>The limitation that only two non-flood test samples were available, making specificity statistically weak, remains in the report.</w:t>
      </w:r>
    </w:p>
    <w:p>
      <w:pPr>
        <w:pStyle w:val="ListBullet"/>
      </w:pPr>
      <w:r>
        <w:t>No factual inconsistency requiring silent correction was identified in the audited project-specific sections. Repeated explanations are mainly intentional because the report includes both chapter summaries and detailed appendices; the conclusion wording was tightened to reduce unnecessary repetition.</w:t>
      </w:r>
    </w:p>
    <w:p>
      <w:pPr>
        <w:pStyle w:val="Heading1"/>
      </w:pPr>
      <w:r>
        <w:rPr>
          <w:color w:val="000000"/>
        </w:rPr>
        <w:t>Final Revision Checklist</w:t>
      </w:r>
    </w:p>
    <w:p>
      <w:pPr>
        <w:pStyle w:val="ListBullet"/>
      </w:pPr>
      <w:r>
        <w:t>All chapters and detailed appendix sections were reviewed.</w:t>
      </w:r>
    </w:p>
    <w:p>
      <w:pPr>
        <w:pStyle w:val="ListBullet"/>
      </w:pPr>
      <w:r>
        <w:t>All passages selected as suspicious or unnecessarily generic were reviewed.</w:t>
      </w:r>
    </w:p>
    <w:p>
      <w:pPr>
        <w:pStyle w:val="ListBullet"/>
      </w:pPr>
      <w:r>
        <w:t>Rewrites preserve technical meaning and implementation status.</w:t>
      </w:r>
    </w:p>
    <w:p>
      <w:pPr>
        <w:pStyle w:val="ListBullet"/>
      </w:pPr>
      <w:r>
        <w:t>No project facts were invented.</w:t>
      </w:r>
    </w:p>
    <w:p>
      <w:pPr>
        <w:pStyle w:val="ListBullet"/>
      </w:pPr>
      <w:r>
        <w:t>No evaluation results were changed.</w:t>
      </w:r>
    </w:p>
    <w:p>
      <w:pPr>
        <w:pStyle w:val="ListBullet"/>
      </w:pPr>
      <w:r>
        <w:t>Flood implementation remains correctly represented.</w:t>
      </w:r>
    </w:p>
    <w:p>
      <w:pPr>
        <w:pStyle w:val="ListBullet"/>
      </w:pPr>
      <w:r>
        <w:t>Future Drought/Wildfire work remains future scope.</w:t>
      </w:r>
    </w:p>
    <w:p>
      <w:pPr>
        <w:pStyle w:val="ListBullet"/>
      </w:pPr>
      <w:r>
        <w:t>No unsupported performance claims were added.</w:t>
      </w:r>
    </w:p>
    <w:p>
      <w:pPr>
        <w:pStyle w:val="ListBullet"/>
      </w:pPr>
      <w:r>
        <w:t>No citations were fabricated.</w:t>
      </w:r>
    </w:p>
    <w:p>
      <w:pPr>
        <w:pStyle w:val="ListBullet"/>
      </w:pPr>
      <w:r>
        <w:t>Technical names, formulas, tables, diagrams, and code-oriented details were preserved.</w:t>
      </w:r>
    </w:p>
    <w:sectPr w:rsidR="00FC693F" w:rsidRPr="0006063C" w:rsidSect="00034616">
      <w:headerReference w:type="default" r:id="rId9"/>
      <w:footerReference w:type="default" r:id="rId10"/>
      <w:pgSz w:w="15840" w:h="12240"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color w:val="000000"/>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color w:val="00000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color w:val="00000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sz w:val="28"/>
      <w:szCs w:val="28"/>
      <w:color w:val="000000"/>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sz w:val="26"/>
      <w:szCs w:val="26"/>
      <w:color w:val="000000"/>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sz w:val="20"/>
      <w:szCs w:val="20"/>
      <w:color w:val="00000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sz w:val="20"/>
      <w:szCs w:val="20"/>
      <w:color w:val="00000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