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0"/>
      </w:pPr>
      <w:r>
        <w:rPr>
          <w:b/>
          <w:color w:val="1E3A8A"/>
          <w:sz w:val="28"/>
        </w:rPr>
        <w:t xml:space="preserve">ConteX AI  —  </w:t>
      </w:r>
      <w:r>
        <w:rPr>
          <w:b/>
          <w:color w:val="0F172A"/>
          <w:sz w:val="28"/>
        </w:rPr>
        <w:t>System Architecture</w:t>
      </w:r>
    </w:p>
    <w:p>
      <w:pPr>
        <w:keepNext/>
        <w:spacing w:before="0" w:after="80"/>
      </w:pPr>
      <w:r>
        <w:rPr>
          <w:b/>
          <w:color w:val="64748B"/>
          <w:sz w:val="18"/>
        </w:rPr>
        <w:t>AI-Powered Information Verification &amp; Transformation Platform • Technical Specification</w:t>
      </w:r>
    </w:p>
    <w:p>
      <w:pPr>
        <w:spacing w:before="0" w:after="120" w:line="269" w:lineRule="auto"/>
      </w:pPr>
      <w:r>
        <w:rPr>
          <w:color w:val="334155"/>
          <w:sz w:val="17"/>
        </w:rPr>
        <w:t>ConteX AI follows a controlled information-processing pipeline that transforms unstructured information into researched, verified, traceable knowledge and reusable content. The architecture separates ingestion, AI analysis, research and verification, knowledge synthesis, integrity, and content transformation into distinct processing stages.</w:t>
      </w:r>
    </w:p>
    <w:p>
      <w:pPr>
        <w:keepNext/>
        <w:spacing w:before="40" w:after="60"/>
      </w:pPr>
      <w:r>
        <w:rPr>
          <w:b/>
          <w:color w:val="1E3A8A"/>
          <w:sz w:val="20"/>
        </w:rPr>
        <w:t>Main System Architecture Pipeline</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317"/>
        <w:gridCol w:w="3317"/>
        <w:gridCol w:w="3317"/>
      </w:tblGrid>
      <w:tr>
        <w:tc>
          <w:tcPr>
            <w:tcW w:type="dxa" w:w="2592"/>
            <w:shd w:val="clear" w:color="auto" w:fill="F8FAFC"/>
            <w:tcMar>
              <w:top w:w="40" w:type="dxa"/>
              <w:bottom w:w="40" w:type="dxa"/>
              <w:left w:w="60" w:type="dxa"/>
              <w:right w:w="60" w:type="dxa"/>
            </w:tcMar>
          </w:tcPr>
          <w:p>
            <w:pPr>
              <w:spacing w:before="0" w:after="0" w:line="252" w:lineRule="auto"/>
            </w:pPr>
            <w:r>
              <w:rPr>
                <w:b/>
                <w:color w:val="1E3A8A"/>
                <w:sz w:val="15"/>
              </w:rPr>
              <w:t>INPUT CHANNELS</w:t>
              <w:br/>
            </w:r>
            <w:r>
              <w:rPr>
                <w:color w:val="475569"/>
                <w:sz w:val="14"/>
              </w:rPr>
              <w:t>• Raw Documents (PDF, DOCX, TXT)</w:t>
              <w:br/>
              <w:t>• Scraped Web URLs</w:t>
              <w:br/>
              <w:t>• Operator Text Prompts</w:t>
            </w:r>
          </w:p>
        </w:tc>
        <w:tc>
          <w:tcPr>
            <w:tcW w:type="dxa" w:w="4766"/>
            <w:shd w:val="clear" w:color="auto" w:fill="EFF6FF"/>
            <w:tcMar>
              <w:top w:w="40" w:type="dxa"/>
              <w:bottom w:w="40" w:type="dxa"/>
              <w:left w:w="70" w:type="dxa"/>
              <w:right w:w="70" w:type="dxa"/>
            </w:tcMar>
          </w:tcPr>
          <w:p>
            <w:pPr>
              <w:spacing w:before="0" w:after="0" w:line="259" w:lineRule="auto"/>
            </w:pPr>
            <w:r>
              <w:rPr>
                <w:b/>
                <w:color w:val="0F172A"/>
                <w:sz w:val="16"/>
              </w:rPr>
              <w:t>1. PRESENTATION LAYER (Web Application UI)</w:t>
              <w:br/>
            </w:r>
            <w:r>
              <w:rPr>
                <w:color w:val="334155"/>
                <w:sz w:val="15"/>
              </w:rPr>
              <w:t>Responsive Workspace • 1-Click Evaluation Demo • Interactive Studio</w:t>
            </w:r>
          </w:p>
        </w:tc>
        <w:tc>
          <w:tcPr>
            <w:tcW w:type="dxa" w:w="2592"/>
            <w:shd w:val="clear" w:color="auto" w:fill="F8FAFC"/>
            <w:tcMar>
              <w:top w:w="40" w:type="dxa"/>
              <w:bottom w:w="40" w:type="dxa"/>
              <w:left w:w="60" w:type="dxa"/>
              <w:right w:w="60" w:type="dxa"/>
            </w:tcMar>
          </w:tcPr>
          <w:p>
            <w:pPr>
              <w:spacing w:before="0" w:after="0" w:line="252" w:lineRule="auto"/>
            </w:pPr>
            <w:r>
              <w:rPr>
                <w:b/>
                <w:color w:val="1E3A8A"/>
                <w:sz w:val="15"/>
              </w:rPr>
              <w:t>CLIENT RUNTIME</w:t>
              <w:br/>
            </w:r>
            <w:r>
              <w:rPr>
                <w:color w:val="475569"/>
                <w:sz w:val="14"/>
              </w:rPr>
              <w:t>Next.js 15 (React 19)</w:t>
              <w:br/>
              <w:t>Tailwind CSS • TypeScript</w:t>
            </w:r>
          </w:p>
        </w:tc>
      </w:tr>
      <w:tr>
        <w:tc>
          <w:tcPr>
            <w:tcW w:type="dxa" w:w="2592"/>
            <w:shd w:val="clear" w:color="auto" w:fill="F8FAFC"/>
            <w:tcMar>
              <w:top w:w="40" w:type="dxa"/>
              <w:bottom w:w="40" w:type="dxa"/>
              <w:left w:w="60" w:type="dxa"/>
              <w:right w:w="60" w:type="dxa"/>
            </w:tcMar>
          </w:tcPr>
          <w:p>
            <w:pPr>
              <w:spacing w:before="0" w:after="0" w:line="252" w:lineRule="auto"/>
            </w:pPr>
            <w:r>
              <w:rPr>
                <w:b/>
                <w:color w:val="1E3A8A"/>
                <w:sz w:val="15"/>
              </w:rPr>
              <w:t>SECURITY SHIELD</w:t>
              <w:br/>
            </w:r>
            <w:r>
              <w:rPr>
                <w:color w:val="475569"/>
                <w:sz w:val="14"/>
              </w:rPr>
              <w:t>• SSRF Protection (RFC-1918 Block)</w:t>
              <w:br/>
              <w:t>• XML Prompt Injection Delimiter</w:t>
            </w:r>
          </w:p>
        </w:tc>
        <w:tc>
          <w:tcPr>
            <w:tcW w:type="dxa" w:w="4766"/>
            <w:shd w:val="clear" w:color="auto" w:fill="FFFFFF"/>
            <w:tcMar>
              <w:top w:w="40" w:type="dxa"/>
              <w:bottom w:w="40" w:type="dxa"/>
              <w:left w:w="70" w:type="dxa"/>
              <w:right w:w="70" w:type="dxa"/>
            </w:tcMar>
          </w:tcPr>
          <w:p>
            <w:pPr>
              <w:spacing w:before="0" w:after="0" w:line="259" w:lineRule="auto"/>
            </w:pPr>
            <w:r>
              <w:rPr>
                <w:b/>
                <w:color w:val="0F172A"/>
                <w:sz w:val="16"/>
              </w:rPr>
              <w:t>2. DOCUMENT &amp; DATA PROCESSING LAYER</w:t>
              <w:br/>
            </w:r>
            <w:r>
              <w:rPr>
                <w:color w:val="334155"/>
                <w:sz w:val="15"/>
              </w:rPr>
              <w:t>Spatial Coordinate Parsing • Multi-Profile Web Crawler • Content Normalizer</w:t>
            </w:r>
          </w:p>
        </w:tc>
        <w:tc>
          <w:tcPr>
            <w:tcW w:type="dxa" w:w="2592"/>
            <w:shd w:val="clear" w:color="auto" w:fill="F8FAFC"/>
            <w:tcMar>
              <w:top w:w="40" w:type="dxa"/>
              <w:bottom w:w="40" w:type="dxa"/>
              <w:left w:w="60" w:type="dxa"/>
              <w:right w:w="60" w:type="dxa"/>
            </w:tcMar>
          </w:tcPr>
          <w:p>
            <w:pPr>
              <w:spacing w:before="0" w:after="0" w:line="252" w:lineRule="auto"/>
            </w:pPr>
            <w:r>
              <w:rPr>
                <w:b/>
                <w:color w:val="1E3A8A"/>
                <w:sz w:val="15"/>
              </w:rPr>
              <w:t>LOCAL FILE STORE</w:t>
              <w:br/>
            </w:r>
            <w:r>
              <w:rPr>
                <w:color w:val="475569"/>
                <w:sz w:val="14"/>
              </w:rPr>
              <w:t>Original Source Archives</w:t>
              <w:br/>
              <w:t>Temporary Upload Buffer</w:t>
            </w:r>
          </w:p>
        </w:tc>
      </w:tr>
      <w:tr>
        <w:tc>
          <w:tcPr>
            <w:tcW w:type="dxa" w:w="2592"/>
            <w:shd w:val="clear" w:color="auto" w:fill="F8FAFC"/>
            <w:tcMar>
              <w:top w:w="40" w:type="dxa"/>
              <w:bottom w:w="40" w:type="dxa"/>
              <w:left w:w="60" w:type="dxa"/>
              <w:right w:w="60" w:type="dxa"/>
            </w:tcMar>
          </w:tcPr>
          <w:p>
            <w:pPr>
              <w:spacing w:before="0" w:after="0" w:line="252" w:lineRule="auto"/>
            </w:pPr>
            <w:r>
              <w:rPr>
                <w:b/>
                <w:color w:val="1E3A8A"/>
                <w:sz w:val="15"/>
              </w:rPr>
              <w:t>AI ENGINE POOL</w:t>
              <w:br/>
            </w:r>
            <w:r>
              <w:rPr>
                <w:color w:val="475569"/>
                <w:sz w:val="14"/>
              </w:rPr>
              <w:t>• Google Gemini / OpenAI GPT-4o</w:t>
              <w:br/>
              <w:t>• Local Ollama / Offline Mock Provider</w:t>
            </w:r>
          </w:p>
        </w:tc>
        <w:tc>
          <w:tcPr>
            <w:tcW w:type="dxa" w:w="4766"/>
            <w:shd w:val="clear" w:color="auto" w:fill="FFFFFF"/>
            <w:tcMar>
              <w:top w:w="40" w:type="dxa"/>
              <w:bottom w:w="40" w:type="dxa"/>
              <w:left w:w="70" w:type="dxa"/>
              <w:right w:w="70" w:type="dxa"/>
            </w:tcMar>
          </w:tcPr>
          <w:p>
            <w:pPr>
              <w:spacing w:before="0" w:after="0" w:line="259" w:lineRule="auto"/>
            </w:pPr>
            <w:r>
              <w:rPr>
                <w:b/>
                <w:color w:val="0F172A"/>
                <w:sz w:val="16"/>
              </w:rPr>
              <w:t>3. AI ANALYSIS &amp; DECOMPOSITION LAYER</w:t>
              <w:br/>
            </w:r>
            <w:r>
              <w:rPr>
                <w:color w:val="334155"/>
                <w:sz w:val="15"/>
              </w:rPr>
              <w:t>Factual Claim Extraction • Entity/Timeline Detection • Deterministic PII Masking</w:t>
            </w:r>
          </w:p>
        </w:tc>
        <w:tc>
          <w:tcPr>
            <w:tcW w:type="dxa" w:w="2592"/>
            <w:shd w:val="clear" w:color="auto" w:fill="F8FAFC"/>
            <w:tcMar>
              <w:top w:w="40" w:type="dxa"/>
              <w:bottom w:w="40" w:type="dxa"/>
              <w:left w:w="60" w:type="dxa"/>
              <w:right w:w="60" w:type="dxa"/>
            </w:tcMar>
          </w:tcPr>
          <w:p>
            <w:pPr>
              <w:spacing w:before="0" w:after="0" w:line="252" w:lineRule="auto"/>
            </w:pPr>
            <w:r>
              <w:rPr>
                <w:b/>
                <w:color w:val="1E3A8A"/>
                <w:sz w:val="15"/>
              </w:rPr>
              <w:t>SENSITIVITY ENGINE</w:t>
              <w:br/>
            </w:r>
            <w:r>
              <w:rPr>
                <w:color w:val="475569"/>
                <w:sz w:val="14"/>
              </w:rPr>
              <w:t>Regex Masking for Emails,</w:t>
              <w:br/>
              <w:t>IPs, Hosts, &amp; Credentials</w:t>
            </w:r>
          </w:p>
        </w:tc>
      </w:tr>
      <w:tr>
        <w:tc>
          <w:tcPr>
            <w:tcW w:type="dxa" w:w="2592"/>
            <w:shd w:val="clear" w:color="auto" w:fill="F8FAFC"/>
            <w:tcMar>
              <w:top w:w="40" w:type="dxa"/>
              <w:bottom w:w="40" w:type="dxa"/>
              <w:left w:w="60" w:type="dxa"/>
              <w:right w:w="60" w:type="dxa"/>
            </w:tcMar>
          </w:tcPr>
          <w:p>
            <w:pPr>
              <w:spacing w:before="0" w:after="0" w:line="252" w:lineRule="auto"/>
            </w:pPr>
            <w:r>
              <w:rPr>
                <w:b/>
                <w:color w:val="1E3A8A"/>
                <w:sz w:val="15"/>
              </w:rPr>
              <w:t>EXTERNAL RESEARCH</w:t>
              <w:br/>
            </w:r>
            <w:r>
              <w:rPr>
                <w:color w:val="475569"/>
                <w:sz w:val="14"/>
              </w:rPr>
              <w:t>• Multi-Engine Search (Bing, DDG)</w:t>
              <w:br/>
              <w:t>• Direct Official Entity Probing</w:t>
            </w:r>
          </w:p>
        </w:tc>
        <w:tc>
          <w:tcPr>
            <w:tcW w:type="dxa" w:w="4766"/>
            <w:shd w:val="clear" w:color="auto" w:fill="FFFFFF"/>
            <w:tcMar>
              <w:top w:w="40" w:type="dxa"/>
              <w:bottom w:w="40" w:type="dxa"/>
              <w:left w:w="70" w:type="dxa"/>
              <w:right w:w="70" w:type="dxa"/>
            </w:tcMar>
          </w:tcPr>
          <w:p>
            <w:pPr>
              <w:spacing w:before="0" w:after="0" w:line="259" w:lineRule="auto"/>
            </w:pPr>
            <w:r>
              <w:rPr>
                <w:b/>
                <w:color w:val="0F172A"/>
                <w:sz w:val="16"/>
              </w:rPr>
              <w:t>4. RESEARCH &amp; VERIFICATION ENGINE</w:t>
              <w:br/>
            </w:r>
            <w:r>
              <w:rPr>
                <w:color w:val="334155"/>
                <w:sz w:val="15"/>
              </w:rPr>
              <w:t>Targeted Query Generation • 8-Tier Source Ranking • Discrepancy/Conflict Detection</w:t>
            </w:r>
          </w:p>
        </w:tc>
        <w:tc>
          <w:tcPr>
            <w:tcW w:type="dxa" w:w="2592"/>
            <w:shd w:val="clear" w:color="auto" w:fill="F8FAFC"/>
            <w:tcMar>
              <w:top w:w="40" w:type="dxa"/>
              <w:bottom w:w="40" w:type="dxa"/>
              <w:left w:w="60" w:type="dxa"/>
              <w:right w:w="60" w:type="dxa"/>
            </w:tcMar>
          </w:tcPr>
          <w:p>
            <w:pPr>
              <w:spacing w:before="0" w:after="0" w:line="252" w:lineRule="auto"/>
            </w:pPr>
            <w:r>
              <w:rPr>
                <w:b/>
                <w:color w:val="1E3A8A"/>
                <w:sz w:val="15"/>
              </w:rPr>
              <w:t>SOURCE HIERARCHY</w:t>
              <w:br/>
            </w:r>
            <w:r>
              <w:rPr>
                <w:color w:val="475569"/>
                <w:sz w:val="14"/>
              </w:rPr>
              <w:t>Tier 1: Gov/CERT/NIST Standards</w:t>
              <w:br/>
              <w:t>Tier 2-8: Portals, Academic, News</w:t>
            </w:r>
          </w:p>
        </w:tc>
      </w:tr>
      <w:tr>
        <w:tc>
          <w:tcPr>
            <w:tcW w:type="dxa" w:w="2592"/>
            <w:shd w:val="clear" w:color="auto" w:fill="F8FAFC"/>
            <w:tcMar>
              <w:top w:w="40" w:type="dxa"/>
              <w:bottom w:w="40" w:type="dxa"/>
              <w:left w:w="60" w:type="dxa"/>
              <w:right w:w="60" w:type="dxa"/>
            </w:tcMar>
          </w:tcPr>
          <w:p>
            <w:pPr>
              <w:spacing w:before="0" w:after="0" w:line="252" w:lineRule="auto"/>
            </w:pPr>
            <w:r>
              <w:rPr>
                <w:b/>
                <w:color w:val="1E3A8A"/>
                <w:sz w:val="15"/>
              </w:rPr>
              <w:t>PROVENANCE TRACKING</w:t>
              <w:br/>
            </w:r>
            <w:r>
              <w:rPr>
                <w:color w:val="475569"/>
                <w:sz w:val="14"/>
              </w:rPr>
              <w:t>• Primary Document Fact</w:t>
              <w:br/>
              <w:t>• External Verified Fact • Inference</w:t>
            </w:r>
          </w:p>
        </w:tc>
        <w:tc>
          <w:tcPr>
            <w:tcW w:type="dxa" w:w="4766"/>
            <w:shd w:val="clear" w:color="auto" w:fill="EFF6FF"/>
            <w:tcMar>
              <w:top w:w="40" w:type="dxa"/>
              <w:bottom w:w="40" w:type="dxa"/>
              <w:left w:w="70" w:type="dxa"/>
              <w:right w:w="70" w:type="dxa"/>
            </w:tcMar>
          </w:tcPr>
          <w:p>
            <w:pPr>
              <w:spacing w:before="0" w:after="0" w:line="259" w:lineRule="auto"/>
            </w:pPr>
            <w:r>
              <w:rPr>
                <w:b/>
                <w:color w:val="0F172A"/>
                <w:sz w:val="16"/>
              </w:rPr>
              <w:t>5. CANONICAL KNOWLEDGE LAYER (Single Source of Truth)</w:t>
              <w:br/>
            </w:r>
            <w:r>
              <w:rPr>
                <w:color w:val="334155"/>
                <w:sz w:val="15"/>
              </w:rPr>
              <w:t>Persistent Normalized Fact Base • Structured Timeline • Empirical Metrics • Risks</w:t>
            </w:r>
          </w:p>
        </w:tc>
        <w:tc>
          <w:tcPr>
            <w:tcW w:type="dxa" w:w="2592"/>
            <w:shd w:val="clear" w:color="auto" w:fill="F8FAFC"/>
            <w:tcMar>
              <w:top w:w="40" w:type="dxa"/>
              <w:bottom w:w="40" w:type="dxa"/>
              <w:left w:w="60" w:type="dxa"/>
              <w:right w:w="60" w:type="dxa"/>
            </w:tcMar>
          </w:tcPr>
          <w:p>
            <w:pPr>
              <w:spacing w:before="0" w:after="0" w:line="252" w:lineRule="auto"/>
            </w:pPr>
            <w:r>
              <w:rPr>
                <w:b/>
                <w:color w:val="1E3A8A"/>
                <w:sz w:val="15"/>
              </w:rPr>
              <w:t>DATA STORES</w:t>
              <w:br/>
            </w:r>
            <w:r>
              <w:rPr>
                <w:color w:val="475569"/>
                <w:sz w:val="14"/>
              </w:rPr>
              <w:t>• In-DB 384-dim Vector Store</w:t>
              <w:br/>
              <w:t>• SQLite / PostgreSQL Metadata</w:t>
            </w:r>
          </w:p>
        </w:tc>
      </w:tr>
      <w:tr>
        <w:tc>
          <w:tcPr>
            <w:tcW w:type="dxa" w:w="2592"/>
            <w:shd w:val="clear" w:color="auto" w:fill="F8FAFC"/>
            <w:tcMar>
              <w:top w:w="40" w:type="dxa"/>
              <w:bottom w:w="40" w:type="dxa"/>
              <w:left w:w="60" w:type="dxa"/>
              <w:right w:w="60" w:type="dxa"/>
            </w:tcMar>
          </w:tcPr>
          <w:p>
            <w:pPr>
              <w:spacing w:before="0" w:after="0" w:line="252" w:lineRule="auto"/>
            </w:pPr>
            <w:r>
              <w:rPr>
                <w:b/>
                <w:color w:val="1E3A8A"/>
                <w:sz w:val="15"/>
              </w:rPr>
              <w:t>GOVERNANCE CONTROLS</w:t>
              <w:br/>
            </w:r>
            <w:r>
              <w:rPr>
                <w:color w:val="475569"/>
                <w:sz w:val="14"/>
              </w:rPr>
              <w:t>• Mandatory Human Approval Gate</w:t>
              <w:br/>
              <w:t>• Conversational AI Refinement Loop</w:t>
            </w:r>
          </w:p>
        </w:tc>
        <w:tc>
          <w:tcPr>
            <w:tcW w:type="dxa" w:w="4766"/>
            <w:shd w:val="clear" w:color="auto" w:fill="FFFFFF"/>
            <w:tcMar>
              <w:top w:w="40" w:type="dxa"/>
              <w:bottom w:w="40" w:type="dxa"/>
              <w:left w:w="70" w:type="dxa"/>
              <w:right w:w="70" w:type="dxa"/>
            </w:tcMar>
          </w:tcPr>
          <w:p>
            <w:pPr>
              <w:spacing w:before="0" w:after="0" w:line="259" w:lineRule="auto"/>
            </w:pPr>
            <w:r>
              <w:rPr>
                <w:b/>
                <w:color w:val="0F172A"/>
                <w:sz w:val="16"/>
              </w:rPr>
              <w:t>6. TRANSFORMATION &amp; QUALITY VERIFICATION</w:t>
              <w:br/>
            </w:r>
            <w:r>
              <w:rPr>
                <w:color w:val="334155"/>
                <w:sz w:val="15"/>
              </w:rPr>
              <w:t>Simultaneous 7-Format Generation • Claim-to-Page Grounding • 8-Metric Quality Radar</w:t>
            </w:r>
          </w:p>
        </w:tc>
        <w:tc>
          <w:tcPr>
            <w:tcW w:type="dxa" w:w="2592"/>
            <w:shd w:val="clear" w:color="auto" w:fill="F8FAFC"/>
            <w:tcMar>
              <w:top w:w="40" w:type="dxa"/>
              <w:bottom w:w="40" w:type="dxa"/>
              <w:left w:w="60" w:type="dxa"/>
              <w:right w:w="60" w:type="dxa"/>
            </w:tcMar>
          </w:tcPr>
          <w:p>
            <w:pPr>
              <w:spacing w:before="0" w:after="0" w:line="252" w:lineRule="auto"/>
            </w:pPr>
            <w:r>
              <w:rPr>
                <w:b/>
                <w:color w:val="1E3A8A"/>
                <w:sz w:val="15"/>
              </w:rPr>
              <w:t>BLOCKCHAIN ANCHOR</w:t>
              <w:br/>
            </w:r>
            <w:r>
              <w:rPr>
                <w:color w:val="475569"/>
                <w:sz w:val="14"/>
              </w:rPr>
              <w:t>• SHA-256 Hash Chaining</w:t>
              <w:br/>
              <w:t>• Smart Contract (Sepolia/Mock)</w:t>
            </w:r>
          </w:p>
        </w:tc>
      </w:tr>
      <w:tr>
        <w:tc>
          <w:tcPr>
            <w:tcW w:type="dxa" w:w="2592"/>
            <w:shd w:val="clear" w:color="auto" w:fill="F8FAFC"/>
            <w:tcMar>
              <w:top w:w="40" w:type="dxa"/>
              <w:bottom w:w="40" w:type="dxa"/>
              <w:left w:w="60" w:type="dxa"/>
              <w:right w:w="60" w:type="dxa"/>
            </w:tcMar>
          </w:tcPr>
          <w:p>
            <w:pPr>
              <w:spacing w:before="0" w:after="0" w:line="252" w:lineRule="auto"/>
            </w:pPr>
            <w:r>
              <w:rPr>
                <w:b/>
                <w:color w:val="1E3A8A"/>
                <w:sz w:val="15"/>
              </w:rPr>
              <w:t>OUTPUT FORMATS</w:t>
              <w:br/>
            </w:r>
            <w:r>
              <w:rPr>
                <w:color w:val="475569"/>
                <w:sz w:val="14"/>
              </w:rPr>
              <w:t>Exec Summary • Slides (.pptx) • Docx</w:t>
              <w:br/>
              <w:t>Threat Advisory • Social Threads</w:t>
            </w:r>
          </w:p>
        </w:tc>
        <w:tc>
          <w:tcPr>
            <w:tcW w:type="dxa" w:w="4766"/>
            <w:shd w:val="clear" w:color="auto" w:fill="EFF6FF"/>
            <w:tcMar>
              <w:top w:w="40" w:type="dxa"/>
              <w:bottom w:w="40" w:type="dxa"/>
              <w:left w:w="70" w:type="dxa"/>
              <w:right w:w="70" w:type="dxa"/>
            </w:tcMar>
          </w:tcPr>
          <w:p>
            <w:pPr>
              <w:spacing w:before="0" w:after="0" w:line="259" w:lineRule="auto"/>
            </w:pPr>
            <w:r>
              <w:rPr>
                <w:b/>
                <w:color w:val="0F172A"/>
                <w:sz w:val="16"/>
              </w:rPr>
              <w:t>7. FINAL OUTPUT &amp; SYNDICATION LAYER</w:t>
              <w:br/>
            </w:r>
            <w:r>
              <w:rPr>
                <w:color w:val="334155"/>
                <w:sz w:val="15"/>
              </w:rPr>
              <w:t>Verified Communication Artefacts • Native File Downloader • n8n Webhook Dispatcher</w:t>
            </w:r>
          </w:p>
        </w:tc>
        <w:tc>
          <w:tcPr>
            <w:tcW w:type="dxa" w:w="2592"/>
            <w:shd w:val="clear" w:color="auto" w:fill="F8FAFC"/>
            <w:tcMar>
              <w:top w:w="40" w:type="dxa"/>
              <w:bottom w:w="40" w:type="dxa"/>
              <w:left w:w="60" w:type="dxa"/>
              <w:right w:w="60" w:type="dxa"/>
            </w:tcMar>
          </w:tcPr>
          <w:p>
            <w:pPr>
              <w:spacing w:before="0" w:after="0" w:line="252" w:lineRule="auto"/>
            </w:pPr>
            <w:r>
              <w:rPr>
                <w:b/>
                <w:color w:val="1E3A8A"/>
                <w:sz w:val="15"/>
              </w:rPr>
              <w:t>AUTOMATION</w:t>
              <w:br/>
            </w:r>
            <w:r>
              <w:rPr>
                <w:color w:val="475569"/>
                <w:sz w:val="14"/>
              </w:rPr>
              <w:t>n8n Webhook Syndication</w:t>
              <w:br/>
              <w:t>LinkedIn, X &amp; Webhook APIs</w:t>
            </w:r>
          </w:p>
        </w:tc>
      </w:tr>
    </w:tbl>
    <w:p>
      <w:pPr>
        <w:keepNext/>
        <w:spacing w:before="120" w:after="40"/>
      </w:pPr>
      <w:r>
        <w:rPr>
          <w:b/>
          <w:color w:val="1E3A8A"/>
          <w:sz w:val="20"/>
        </w:rPr>
        <w:t>System Processing Layers</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975"/>
        <w:gridCol w:w="4975"/>
      </w:tblGrid>
      <w:tr>
        <w:tc>
          <w:tcPr>
            <w:tcW w:type="dxa" w:w="4968"/>
            <w:shd w:val="clear" w:color="auto" w:fill="FAFAFA"/>
            <w:tcMar>
              <w:top w:w="35" w:type="dxa"/>
              <w:bottom w:w="35" w:type="dxa"/>
              <w:left w:w="60" w:type="dxa"/>
              <w:right w:w="60" w:type="dxa"/>
            </w:tcMar>
          </w:tcPr>
          <w:p>
            <w:pPr>
              <w:spacing w:before="0" w:after="0" w:line="252" w:lineRule="auto"/>
            </w:pPr>
            <w:r>
              <w:rPr>
                <w:b/>
                <w:color w:val="0F172A"/>
                <w:sz w:val="16"/>
              </w:rPr>
              <w:t xml:space="preserve">1. Presentation Layer: </w:t>
            </w:r>
            <w:r>
              <w:rPr>
                <w:color w:val="334155"/>
                <w:sz w:val="15"/>
              </w:rPr>
              <w:t>Next.js 15 web interface for file upload, live research monitoring, fact-check inspection, AI editing, and output publishing.</w:t>
            </w:r>
          </w:p>
        </w:tc>
        <w:tc>
          <w:tcPr>
            <w:tcW w:type="dxa" w:w="4982"/>
            <w:shd w:val="clear" w:color="auto" w:fill="FAFAFA"/>
            <w:tcMar>
              <w:top w:w="35" w:type="dxa"/>
              <w:bottom w:w="35" w:type="dxa"/>
              <w:left w:w="60" w:type="dxa"/>
              <w:right w:w="60" w:type="dxa"/>
            </w:tcMar>
          </w:tcPr>
          <w:p>
            <w:pPr>
              <w:spacing w:before="0" w:after="0" w:line="252" w:lineRule="auto"/>
            </w:pPr>
            <w:r>
              <w:rPr>
                <w:b/>
                <w:color w:val="0F172A"/>
                <w:sz w:val="16"/>
              </w:rPr>
              <w:t xml:space="preserve">2. Processing &amp; Security Layer: </w:t>
            </w:r>
            <w:r>
              <w:rPr>
                <w:color w:val="334155"/>
                <w:sz w:val="15"/>
              </w:rPr>
              <w:t>Spatial PDF parsing, DOCX extraction, web crawling, prompt injection delimiters, and SSRF private IP blocking.</w:t>
            </w:r>
          </w:p>
        </w:tc>
      </w:tr>
      <w:tr>
        <w:tc>
          <w:tcPr>
            <w:tcW w:type="dxa" w:w="4968"/>
            <w:shd w:val="clear" w:color="auto" w:fill="FAFAFA"/>
            <w:tcMar>
              <w:top w:w="35" w:type="dxa"/>
              <w:bottom w:w="35" w:type="dxa"/>
              <w:left w:w="60" w:type="dxa"/>
              <w:right w:w="60" w:type="dxa"/>
            </w:tcMar>
          </w:tcPr>
          <w:p>
            <w:pPr>
              <w:spacing w:before="0" w:after="0" w:line="252" w:lineRule="auto"/>
            </w:pPr>
            <w:r>
              <w:rPr>
                <w:b/>
                <w:color w:val="0F172A"/>
                <w:sz w:val="16"/>
              </w:rPr>
              <w:t xml:space="preserve">3. AI Analysis Layer: </w:t>
            </w:r>
            <w:r>
              <w:rPr>
                <w:color w:val="334155"/>
                <w:sz w:val="15"/>
              </w:rPr>
              <w:t>Extracts claims, entities, chronological events, statistics, and risks while performing deterministic PII masking.</w:t>
            </w:r>
          </w:p>
        </w:tc>
        <w:tc>
          <w:tcPr>
            <w:tcW w:type="dxa" w:w="4982"/>
            <w:shd w:val="clear" w:color="auto" w:fill="FAFAFA"/>
            <w:tcMar>
              <w:top w:w="35" w:type="dxa"/>
              <w:bottom w:w="35" w:type="dxa"/>
              <w:left w:w="60" w:type="dxa"/>
              <w:right w:w="60" w:type="dxa"/>
            </w:tcMar>
          </w:tcPr>
          <w:p>
            <w:pPr>
              <w:spacing w:before="0" w:after="0" w:line="252" w:lineRule="auto"/>
            </w:pPr>
            <w:r>
              <w:rPr>
                <w:b/>
                <w:color w:val="0F172A"/>
                <w:sz w:val="16"/>
              </w:rPr>
              <w:t xml:space="preserve">4. Research &amp; Verification Layer: </w:t>
            </w:r>
            <w:r>
              <w:rPr>
                <w:color w:val="334155"/>
                <w:sz w:val="15"/>
              </w:rPr>
              <w:t>Queries external sources via Bing/DuckDuckGo, ranks evidence by 8 authority tiers, and detects cross-source discrepancies.</w:t>
            </w:r>
          </w:p>
        </w:tc>
      </w:tr>
      <w:tr>
        <w:tc>
          <w:tcPr>
            <w:tcW w:type="dxa" w:w="4968"/>
            <w:shd w:val="clear" w:color="auto" w:fill="FAFAFA"/>
            <w:tcMar>
              <w:top w:w="35" w:type="dxa"/>
              <w:bottom w:w="35" w:type="dxa"/>
              <w:left w:w="60" w:type="dxa"/>
              <w:right w:w="60" w:type="dxa"/>
            </w:tcMar>
          </w:tcPr>
          <w:p>
            <w:pPr>
              <w:spacing w:before="0" w:after="0" w:line="252" w:lineRule="auto"/>
            </w:pPr>
            <w:r>
              <w:rPr>
                <w:b/>
                <w:color w:val="0F172A"/>
                <w:sz w:val="16"/>
              </w:rPr>
              <w:t xml:space="preserve">5. Knowledge Core &amp; Storage Layer: </w:t>
            </w:r>
            <w:r>
              <w:rPr>
                <w:color w:val="334155"/>
                <w:sz w:val="15"/>
              </w:rPr>
              <w:t>Stores immutable Single Source of Truth (SSOT) records with claim provenance and internal RAG vector embeddings.</w:t>
            </w:r>
          </w:p>
        </w:tc>
        <w:tc>
          <w:tcPr>
            <w:tcW w:type="dxa" w:w="4982"/>
            <w:shd w:val="clear" w:color="auto" w:fill="FAFAFA"/>
            <w:tcMar>
              <w:top w:w="35" w:type="dxa"/>
              <w:bottom w:w="35" w:type="dxa"/>
              <w:left w:w="60" w:type="dxa"/>
              <w:right w:w="60" w:type="dxa"/>
            </w:tcMar>
          </w:tcPr>
          <w:p>
            <w:pPr>
              <w:spacing w:before="0" w:after="0" w:line="252" w:lineRule="auto"/>
            </w:pPr>
            <w:r>
              <w:rPr>
                <w:b/>
                <w:color w:val="0F172A"/>
                <w:sz w:val="16"/>
              </w:rPr>
              <w:t xml:space="preserve">6. Integrity &amp; Security Layer: </w:t>
            </w:r>
            <w:r>
              <w:rPr>
                <w:color w:val="334155"/>
                <w:sz w:val="15"/>
              </w:rPr>
              <w:t>SHA-256 cryptographic hash chaining and EVM smart contract anchoring (ContentIntegrityRegistry.sol) for non-repudiation.</w:t>
            </w:r>
          </w:p>
        </w:tc>
      </w:tr>
      <w:tr>
        <w:tc>
          <w:tcPr>
            <w:tcW w:type="dxa" w:w="4968"/>
            <w:shd w:val="clear" w:color="auto" w:fill="FAFAFA"/>
            <w:tcMar>
              <w:top w:w="35" w:type="dxa"/>
              <w:bottom w:w="35" w:type="dxa"/>
              <w:left w:w="60" w:type="dxa"/>
              <w:right w:w="60" w:type="dxa"/>
            </w:tcMar>
          </w:tcPr>
          <w:p>
            <w:pPr>
              <w:spacing w:before="0" w:after="0" w:line="252" w:lineRule="auto"/>
            </w:pPr>
            <w:r>
              <w:rPr>
                <w:b/>
                <w:color w:val="0F172A"/>
                <w:sz w:val="16"/>
              </w:rPr>
              <w:t xml:space="preserve">7. Content Transformation Layer: </w:t>
            </w:r>
            <w:r>
              <w:rPr>
                <w:color w:val="334155"/>
                <w:sz w:val="15"/>
              </w:rPr>
              <w:t>Concurrently synthesizes 7 formats (briefings, PPTX slides, advisories, social threads) governed by an operator approval gate.</w:t>
            </w:r>
          </w:p>
        </w:tc>
        <w:tc>
          <w:tcPr>
            <w:tcW w:type="dxa" w:w="4982"/>
            <w:shd w:val="clear" w:color="auto" w:fill="EFF6FF"/>
            <w:tcMar>
              <w:top w:w="35" w:type="dxa"/>
              <w:bottom w:w="35" w:type="dxa"/>
              <w:left w:w="60" w:type="dxa"/>
              <w:right w:w="60" w:type="dxa"/>
            </w:tcMar>
          </w:tcPr>
          <w:p>
            <w:pPr>
              <w:spacing w:before="0" w:after="0"/>
            </w:pPr>
            <w:r>
              <w:rPr>
                <w:b/>
                <w:color w:val="1E3A8A"/>
                <w:sz w:val="16"/>
              </w:rPr>
              <w:t xml:space="preserve">Governance Model: </w:t>
            </w:r>
            <w:r>
              <w:rPr>
                <w:color w:val="1E3A8A"/>
                <w:sz w:val="15"/>
              </w:rPr>
              <w:t>Mandatory Human Approval Gate prevents unverified distribution; conversational AI refinement updates versions.</w:t>
            </w:r>
          </w:p>
        </w:tc>
      </w:tr>
    </w:tbl>
    <w:p>
      <w:r>
        <w:br w:type="page"/>
      </w:r>
    </w:p>
    <w:p>
      <w:pPr>
        <w:keepNext/>
        <w:spacing w:before="0" w:after="60"/>
      </w:pPr>
      <w:r>
        <w:rPr>
          <w:b/>
          <w:color w:val="1E3A8A"/>
          <w:sz w:val="21"/>
        </w:rPr>
        <w:t>Technology Stack &amp; Component Mapping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317"/>
        <w:gridCol w:w="3317"/>
        <w:gridCol w:w="3317"/>
      </w:tblGrid>
      <w:tr>
        <w:tc>
          <w:tcPr>
            <w:tcW w:type="dxa" w:w="2376"/>
            <w:shd w:val="clear" w:color="auto" w:fill="1E3A8A"/>
            <w:tcMar>
              <w:top w:w="45" w:type="dxa"/>
              <w:bottom w:w="45" w:type="dxa"/>
              <w:left w:w="70" w:type="dxa"/>
              <w:right w:w="70" w:type="dxa"/>
            </w:tcMar>
          </w:tcPr>
          <w:p>
            <w:pPr>
              <w:spacing w:before="0" w:after="0"/>
            </w:pPr>
            <w:r>
              <w:rPr>
                <w:b/>
                <w:color w:val="FFFFFF"/>
                <w:sz w:val="16"/>
              </w:rPr>
              <w:t>Architecture Component</w:t>
            </w:r>
          </w:p>
        </w:tc>
        <w:tc>
          <w:tcPr>
            <w:tcW w:type="dxa" w:w="4104"/>
            <w:shd w:val="clear" w:color="auto" w:fill="1E3A8A"/>
            <w:tcMar>
              <w:top w:w="45" w:type="dxa"/>
              <w:bottom w:w="45" w:type="dxa"/>
              <w:left w:w="70" w:type="dxa"/>
              <w:right w:w="70" w:type="dxa"/>
            </w:tcMar>
          </w:tcPr>
          <w:p>
            <w:pPr>
              <w:spacing w:before="0" w:after="0"/>
            </w:pPr>
            <w:r>
              <w:rPr>
                <w:b/>
                <w:color w:val="FFFFFF"/>
                <w:sz w:val="16"/>
              </w:rPr>
              <w:t>Technology / Implementation</w:t>
            </w:r>
          </w:p>
        </w:tc>
        <w:tc>
          <w:tcPr>
            <w:tcW w:type="dxa" w:w="3470"/>
            <w:shd w:val="clear" w:color="auto" w:fill="1E3A8A"/>
            <w:tcMar>
              <w:top w:w="45" w:type="dxa"/>
              <w:bottom w:w="45" w:type="dxa"/>
              <w:left w:w="70" w:type="dxa"/>
              <w:right w:w="70" w:type="dxa"/>
            </w:tcMar>
          </w:tcPr>
          <w:p>
            <w:pPr>
              <w:spacing w:before="0" w:after="0"/>
            </w:pPr>
            <w:r>
              <w:rPr>
                <w:b/>
                <w:color w:val="FFFFFF"/>
                <w:sz w:val="16"/>
              </w:rPr>
              <w:t>Role / Responsibility</w:t>
            </w:r>
          </w:p>
        </w:tc>
      </w:tr>
      <w:tr>
        <w:tc>
          <w:tcPr>
            <w:tcW w:type="dxa" w:w="2376"/>
            <w:shd w:val="clear" w:color="auto" w:fill="F8FAFC"/>
            <w:tcMar>
              <w:top w:w="30" w:type="dxa"/>
              <w:bottom w:w="30" w:type="dxa"/>
              <w:left w:w="70" w:type="dxa"/>
              <w:right w:w="70" w:type="dxa"/>
            </w:tcMar>
          </w:tcPr>
          <w:p>
            <w:pPr>
              <w:spacing w:before="0" w:after="0"/>
            </w:pPr>
            <w:r>
              <w:rPr>
                <w:b/>
                <w:color w:val="0F172A"/>
                <w:sz w:val="15"/>
              </w:rPr>
              <w:t>Web Application</w:t>
            </w:r>
          </w:p>
        </w:tc>
        <w:tc>
          <w:tcPr>
            <w:tcW w:type="dxa" w:w="4104"/>
            <w:shd w:val="clear" w:color="auto" w:fill="F8FAFC"/>
            <w:tcMar>
              <w:top w:w="30" w:type="dxa"/>
              <w:bottom w:w="30" w:type="dxa"/>
              <w:left w:w="70" w:type="dxa"/>
              <w:right w:w="70" w:type="dxa"/>
            </w:tcMar>
          </w:tcPr>
          <w:p>
            <w:pPr>
              <w:spacing w:before="0" w:after="0"/>
            </w:pPr>
            <w:r>
              <w:rPr>
                <w:color w:val="334155"/>
                <w:sz w:val="15"/>
              </w:rPr>
              <w:t>Next.js 15 (App Router), React 19, TypeScript, Tailwind CSS</w:t>
            </w:r>
          </w:p>
        </w:tc>
        <w:tc>
          <w:tcPr>
            <w:tcW w:type="dxa" w:w="3470"/>
            <w:shd w:val="clear" w:color="auto" w:fill="F8FAFC"/>
            <w:tcMar>
              <w:top w:w="30" w:type="dxa"/>
              <w:bottom w:w="30" w:type="dxa"/>
              <w:left w:w="70" w:type="dxa"/>
              <w:right w:w="70" w:type="dxa"/>
            </w:tcMar>
          </w:tcPr>
          <w:p>
            <w:pPr>
              <w:spacing w:before="0" w:after="0"/>
            </w:pPr>
            <w:r>
              <w:rPr>
                <w:color w:val="475569"/>
                <w:sz w:val="15"/>
              </w:rPr>
              <w:t>User interface, interactive fact-check inspector &amp; studio</w:t>
            </w:r>
          </w:p>
        </w:tc>
      </w:tr>
      <w:tr>
        <w:tc>
          <w:tcPr>
            <w:tcW w:type="dxa" w:w="2376"/>
            <w:shd w:val="clear" w:color="auto" w:fill="FFFFFF"/>
            <w:tcMar>
              <w:top w:w="30" w:type="dxa"/>
              <w:bottom w:w="30" w:type="dxa"/>
              <w:left w:w="70" w:type="dxa"/>
              <w:right w:w="70" w:type="dxa"/>
            </w:tcMar>
          </w:tcPr>
          <w:p>
            <w:pPr>
              <w:spacing w:before="0" w:after="0"/>
            </w:pPr>
            <w:r>
              <w:rPr>
                <w:b/>
                <w:color w:val="0F172A"/>
                <w:sz w:val="15"/>
              </w:rPr>
              <w:t>Backend / API</w:t>
            </w:r>
          </w:p>
        </w:tc>
        <w:tc>
          <w:tcPr>
            <w:tcW w:type="dxa" w:w="4104"/>
            <w:shd w:val="clear" w:color="auto" w:fill="FFFFFF"/>
            <w:tcMar>
              <w:top w:w="30" w:type="dxa"/>
              <w:bottom w:w="30" w:type="dxa"/>
              <w:left w:w="70" w:type="dxa"/>
              <w:right w:w="70" w:type="dxa"/>
            </w:tcMar>
          </w:tcPr>
          <w:p>
            <w:pPr>
              <w:spacing w:before="0" w:after="0"/>
            </w:pPr>
            <w:r>
              <w:rPr>
                <w:color w:val="334155"/>
                <w:sz w:val="15"/>
              </w:rPr>
              <w:t>FastAPI (Python 3.11), Uvicorn, Pydantic v2, SQLAlchemy 2.0</w:t>
            </w:r>
          </w:p>
        </w:tc>
        <w:tc>
          <w:tcPr>
            <w:tcW w:type="dxa" w:w="3470"/>
            <w:shd w:val="clear" w:color="auto" w:fill="FFFFFF"/>
            <w:tcMar>
              <w:top w:w="30" w:type="dxa"/>
              <w:bottom w:w="30" w:type="dxa"/>
              <w:left w:w="70" w:type="dxa"/>
              <w:right w:w="70" w:type="dxa"/>
            </w:tcMar>
          </w:tcPr>
          <w:p>
            <w:pPr>
              <w:spacing w:before="0" w:after="0"/>
            </w:pPr>
            <w:r>
              <w:rPr>
                <w:color w:val="475569"/>
                <w:sz w:val="15"/>
              </w:rPr>
              <w:t>Asynchronous REST application services &amp; pipeline orchestration</w:t>
            </w:r>
          </w:p>
        </w:tc>
      </w:tr>
      <w:tr>
        <w:tc>
          <w:tcPr>
            <w:tcW w:type="dxa" w:w="2376"/>
            <w:shd w:val="clear" w:color="auto" w:fill="F8FAFC"/>
            <w:tcMar>
              <w:top w:w="30" w:type="dxa"/>
              <w:bottom w:w="30" w:type="dxa"/>
              <w:left w:w="70" w:type="dxa"/>
              <w:right w:w="70" w:type="dxa"/>
            </w:tcMar>
          </w:tcPr>
          <w:p>
            <w:pPr>
              <w:spacing w:before="0" w:after="0"/>
            </w:pPr>
            <w:r>
              <w:rPr>
                <w:b/>
                <w:color w:val="0F172A"/>
                <w:sz w:val="15"/>
              </w:rPr>
              <w:t>AI Processing</w:t>
            </w:r>
          </w:p>
        </w:tc>
        <w:tc>
          <w:tcPr>
            <w:tcW w:type="dxa" w:w="4104"/>
            <w:shd w:val="clear" w:color="auto" w:fill="F8FAFC"/>
            <w:tcMar>
              <w:top w:w="30" w:type="dxa"/>
              <w:bottom w:w="30" w:type="dxa"/>
              <w:left w:w="70" w:type="dxa"/>
              <w:right w:w="70" w:type="dxa"/>
            </w:tcMar>
          </w:tcPr>
          <w:p>
            <w:pPr>
              <w:spacing w:before="0" w:after="0"/>
            </w:pPr>
            <w:r>
              <w:rPr>
                <w:color w:val="334155"/>
                <w:sz w:val="15"/>
              </w:rPr>
              <w:t>Google Gemini API, OpenAI GPT-4o-mini, Local Ollama, Mock AI</w:t>
            </w:r>
          </w:p>
        </w:tc>
        <w:tc>
          <w:tcPr>
            <w:tcW w:type="dxa" w:w="3470"/>
            <w:shd w:val="clear" w:color="auto" w:fill="F8FAFC"/>
            <w:tcMar>
              <w:top w:w="30" w:type="dxa"/>
              <w:bottom w:w="30" w:type="dxa"/>
              <w:left w:w="70" w:type="dxa"/>
              <w:right w:w="70" w:type="dxa"/>
            </w:tcMar>
          </w:tcPr>
          <w:p>
            <w:pPr>
              <w:spacing w:before="0" w:after="0"/>
            </w:pPr>
            <w:r>
              <w:rPr>
                <w:color w:val="475569"/>
                <w:sz w:val="15"/>
              </w:rPr>
              <w:t>Canonical document decomposition &amp; structured factual extraction</w:t>
            </w:r>
          </w:p>
        </w:tc>
      </w:tr>
      <w:tr>
        <w:tc>
          <w:tcPr>
            <w:tcW w:type="dxa" w:w="2376"/>
            <w:shd w:val="clear" w:color="auto" w:fill="FFFFFF"/>
            <w:tcMar>
              <w:top w:w="30" w:type="dxa"/>
              <w:bottom w:w="30" w:type="dxa"/>
              <w:left w:w="70" w:type="dxa"/>
              <w:right w:w="70" w:type="dxa"/>
            </w:tcMar>
          </w:tcPr>
          <w:p>
            <w:pPr>
              <w:spacing w:before="0" w:after="0"/>
            </w:pPr>
            <w:r>
              <w:rPr>
                <w:b/>
                <w:color w:val="0F172A"/>
                <w:sz w:val="15"/>
              </w:rPr>
              <w:t>Document Processing</w:t>
            </w:r>
          </w:p>
        </w:tc>
        <w:tc>
          <w:tcPr>
            <w:tcW w:type="dxa" w:w="4104"/>
            <w:shd w:val="clear" w:color="auto" w:fill="FFFFFF"/>
            <w:tcMar>
              <w:top w:w="30" w:type="dxa"/>
              <w:bottom w:w="30" w:type="dxa"/>
              <w:left w:w="70" w:type="dxa"/>
              <w:right w:w="70" w:type="dxa"/>
            </w:tcMar>
          </w:tcPr>
          <w:p>
            <w:pPr>
              <w:spacing w:before="0" w:after="0"/>
            </w:pPr>
            <w:r>
              <w:rPr>
                <w:color w:val="334155"/>
                <w:sz w:val="15"/>
              </w:rPr>
              <w:t>PyMuPDF (PDF spatial parsing), python-docx (Word extraction)</w:t>
            </w:r>
          </w:p>
        </w:tc>
        <w:tc>
          <w:tcPr>
            <w:tcW w:type="dxa" w:w="3470"/>
            <w:shd w:val="clear" w:color="auto" w:fill="FFFFFF"/>
            <w:tcMar>
              <w:top w:w="30" w:type="dxa"/>
              <w:bottom w:w="30" w:type="dxa"/>
              <w:left w:w="70" w:type="dxa"/>
              <w:right w:w="70" w:type="dxa"/>
            </w:tcMar>
          </w:tcPr>
          <w:p>
            <w:pPr>
              <w:spacing w:before="0" w:after="0"/>
            </w:pPr>
            <w:r>
              <w:rPr>
                <w:color w:val="475569"/>
                <w:sz w:val="15"/>
              </w:rPr>
              <w:t>Spatial text extraction preserving page coordinates &amp; citations</w:t>
            </w:r>
          </w:p>
        </w:tc>
      </w:tr>
      <w:tr>
        <w:tc>
          <w:tcPr>
            <w:tcW w:type="dxa" w:w="2376"/>
            <w:shd w:val="clear" w:color="auto" w:fill="F8FAFC"/>
            <w:tcMar>
              <w:top w:w="30" w:type="dxa"/>
              <w:bottom w:w="30" w:type="dxa"/>
              <w:left w:w="70" w:type="dxa"/>
              <w:right w:w="70" w:type="dxa"/>
            </w:tcMar>
          </w:tcPr>
          <w:p>
            <w:pPr>
              <w:spacing w:before="0" w:after="0"/>
            </w:pPr>
            <w:r>
              <w:rPr>
                <w:b/>
                <w:color w:val="0F172A"/>
                <w:sz w:val="15"/>
              </w:rPr>
              <w:t>Web Scraping &amp; Security</w:t>
            </w:r>
          </w:p>
        </w:tc>
        <w:tc>
          <w:tcPr>
            <w:tcW w:type="dxa" w:w="4104"/>
            <w:shd w:val="clear" w:color="auto" w:fill="F8FAFC"/>
            <w:tcMar>
              <w:top w:w="30" w:type="dxa"/>
              <w:bottom w:w="30" w:type="dxa"/>
              <w:left w:w="70" w:type="dxa"/>
              <w:right w:w="70" w:type="dxa"/>
            </w:tcMar>
          </w:tcPr>
          <w:p>
            <w:pPr>
              <w:spacing w:before="0" w:after="0"/>
            </w:pPr>
            <w:r>
              <w:rPr>
                <w:color w:val="334155"/>
                <w:sz w:val="15"/>
              </w:rPr>
              <w:t>BeautifulSoup4, HTTPX, URL SSRF Filter, XML Prompt Sanitizer</w:t>
            </w:r>
          </w:p>
        </w:tc>
        <w:tc>
          <w:tcPr>
            <w:tcW w:type="dxa" w:w="3470"/>
            <w:shd w:val="clear" w:color="auto" w:fill="F8FAFC"/>
            <w:tcMar>
              <w:top w:w="30" w:type="dxa"/>
              <w:bottom w:w="30" w:type="dxa"/>
              <w:left w:w="70" w:type="dxa"/>
              <w:right w:w="70" w:type="dxa"/>
            </w:tcMar>
          </w:tcPr>
          <w:p>
            <w:pPr>
              <w:spacing w:before="0" w:after="0"/>
            </w:pPr>
            <w:r>
              <w:rPr>
                <w:color w:val="475569"/>
                <w:sz w:val="15"/>
              </w:rPr>
              <w:t>External content ingestion with private IP and injection defense</w:t>
            </w:r>
          </w:p>
        </w:tc>
      </w:tr>
      <w:tr>
        <w:tc>
          <w:tcPr>
            <w:tcW w:type="dxa" w:w="2376"/>
            <w:shd w:val="clear" w:color="auto" w:fill="FFFFFF"/>
            <w:tcMar>
              <w:top w:w="30" w:type="dxa"/>
              <w:bottom w:w="30" w:type="dxa"/>
              <w:left w:w="70" w:type="dxa"/>
              <w:right w:w="70" w:type="dxa"/>
            </w:tcMar>
          </w:tcPr>
          <w:p>
            <w:pPr>
              <w:spacing w:before="0" w:after="0"/>
            </w:pPr>
            <w:r>
              <w:rPr>
                <w:b/>
                <w:color w:val="0F172A"/>
                <w:sz w:val="15"/>
              </w:rPr>
              <w:t>Research Engine</w:t>
            </w:r>
          </w:p>
        </w:tc>
        <w:tc>
          <w:tcPr>
            <w:tcW w:type="dxa" w:w="4104"/>
            <w:shd w:val="clear" w:color="auto" w:fill="FFFFFF"/>
            <w:tcMar>
              <w:top w:w="30" w:type="dxa"/>
              <w:bottom w:w="30" w:type="dxa"/>
              <w:left w:w="70" w:type="dxa"/>
              <w:right w:w="70" w:type="dxa"/>
            </w:tcMar>
          </w:tcPr>
          <w:p>
            <w:pPr>
              <w:spacing w:before="0" w:after="0"/>
            </w:pPr>
            <w:r>
              <w:rPr>
                <w:color w:val="334155"/>
                <w:sz w:val="15"/>
              </w:rPr>
              <w:t>Multi-Engine Search (Bing, DuckDuckGo via HTTP), Direct Domain Resolver</w:t>
            </w:r>
          </w:p>
        </w:tc>
        <w:tc>
          <w:tcPr>
            <w:tcW w:type="dxa" w:w="3470"/>
            <w:shd w:val="clear" w:color="auto" w:fill="FFFFFF"/>
            <w:tcMar>
              <w:top w:w="30" w:type="dxa"/>
              <w:bottom w:w="30" w:type="dxa"/>
              <w:left w:w="70" w:type="dxa"/>
              <w:right w:w="70" w:type="dxa"/>
            </w:tcMar>
          </w:tcPr>
          <w:p>
            <w:pPr>
              <w:spacing w:before="0" w:after="0"/>
            </w:pPr>
            <w:r>
              <w:rPr>
                <w:color w:val="475569"/>
                <w:sz w:val="15"/>
              </w:rPr>
              <w:t>External evidence retrieval anchored on document entities</w:t>
            </w:r>
          </w:p>
        </w:tc>
      </w:tr>
      <w:tr>
        <w:tc>
          <w:tcPr>
            <w:tcW w:type="dxa" w:w="2376"/>
            <w:shd w:val="clear" w:color="auto" w:fill="F8FAFC"/>
            <w:tcMar>
              <w:top w:w="30" w:type="dxa"/>
              <w:bottom w:w="30" w:type="dxa"/>
              <w:left w:w="70" w:type="dxa"/>
              <w:right w:w="70" w:type="dxa"/>
            </w:tcMar>
          </w:tcPr>
          <w:p>
            <w:pPr>
              <w:spacing w:before="0" w:after="0"/>
            </w:pPr>
            <w:r>
              <w:rPr>
                <w:b/>
                <w:color w:val="0F172A"/>
                <w:sz w:val="15"/>
              </w:rPr>
              <w:t>Verification &amp; Scoring</w:t>
            </w:r>
          </w:p>
        </w:tc>
        <w:tc>
          <w:tcPr>
            <w:tcW w:type="dxa" w:w="4104"/>
            <w:shd w:val="clear" w:color="auto" w:fill="F8FAFC"/>
            <w:tcMar>
              <w:top w:w="30" w:type="dxa"/>
              <w:bottom w:w="30" w:type="dxa"/>
              <w:left w:w="70" w:type="dxa"/>
              <w:right w:w="70" w:type="dxa"/>
            </w:tcMar>
          </w:tcPr>
          <w:p>
            <w:pPr>
              <w:spacing w:before="0" w:after="0"/>
            </w:pPr>
            <w:r>
              <w:rPr>
                <w:color w:val="334155"/>
                <w:sz w:val="15"/>
              </w:rPr>
              <w:t>8-Tier Source Classifier, Claim Matcher, Flesch Readability Radar</w:t>
            </w:r>
          </w:p>
        </w:tc>
        <w:tc>
          <w:tcPr>
            <w:tcW w:type="dxa" w:w="3470"/>
            <w:shd w:val="clear" w:color="auto" w:fill="F8FAFC"/>
            <w:tcMar>
              <w:top w:w="30" w:type="dxa"/>
              <w:bottom w:w="30" w:type="dxa"/>
              <w:left w:w="70" w:type="dxa"/>
              <w:right w:w="70" w:type="dxa"/>
            </w:tcMar>
          </w:tcPr>
          <w:p>
            <w:pPr>
              <w:spacing w:before="0" w:after="0"/>
            </w:pPr>
            <w:r>
              <w:rPr>
                <w:color w:val="475569"/>
                <w:sz w:val="15"/>
              </w:rPr>
              <w:t>Evidence validation, page citation matching &amp; quality scoring</w:t>
            </w:r>
          </w:p>
        </w:tc>
      </w:tr>
      <w:tr>
        <w:tc>
          <w:tcPr>
            <w:tcW w:type="dxa" w:w="2376"/>
            <w:shd w:val="clear" w:color="auto" w:fill="FFFFFF"/>
            <w:tcMar>
              <w:top w:w="30" w:type="dxa"/>
              <w:bottom w:w="30" w:type="dxa"/>
              <w:left w:w="70" w:type="dxa"/>
              <w:right w:w="70" w:type="dxa"/>
            </w:tcMar>
          </w:tcPr>
          <w:p>
            <w:pPr>
              <w:spacing w:before="0" w:after="0"/>
            </w:pPr>
            <w:r>
              <w:rPr>
                <w:b/>
                <w:color w:val="0F172A"/>
                <w:sz w:val="15"/>
              </w:rPr>
              <w:t>Knowledge Storage</w:t>
            </w:r>
          </w:p>
        </w:tc>
        <w:tc>
          <w:tcPr>
            <w:tcW w:type="dxa" w:w="4104"/>
            <w:shd w:val="clear" w:color="auto" w:fill="FFFFFF"/>
            <w:tcMar>
              <w:top w:w="30" w:type="dxa"/>
              <w:bottom w:w="30" w:type="dxa"/>
              <w:left w:w="70" w:type="dxa"/>
              <w:right w:w="70" w:type="dxa"/>
            </w:tcMar>
          </w:tcPr>
          <w:p>
            <w:pPr>
              <w:spacing w:before="0" w:after="0"/>
            </w:pPr>
            <w:r>
              <w:rPr>
                <w:color w:val="334155"/>
                <w:sz w:val="15"/>
              </w:rPr>
              <w:t>SQLite (Zero-config content_transformer.db) / PostgreSQL</w:t>
            </w:r>
          </w:p>
        </w:tc>
        <w:tc>
          <w:tcPr>
            <w:tcW w:type="dxa" w:w="3470"/>
            <w:shd w:val="clear" w:color="auto" w:fill="FFFFFF"/>
            <w:tcMar>
              <w:top w:w="30" w:type="dxa"/>
              <w:bottom w:w="30" w:type="dxa"/>
              <w:left w:w="70" w:type="dxa"/>
              <w:right w:w="70" w:type="dxa"/>
            </w:tcMar>
          </w:tcPr>
          <w:p>
            <w:pPr>
              <w:spacing w:before="0" w:after="0"/>
            </w:pPr>
            <w:r>
              <w:rPr>
                <w:color w:val="475569"/>
                <w:sz w:val="15"/>
              </w:rPr>
              <w:t>Single Source of Truth (SSOT), conflict records &amp; project persistence</w:t>
            </w:r>
          </w:p>
        </w:tc>
      </w:tr>
      <w:tr>
        <w:tc>
          <w:tcPr>
            <w:tcW w:type="dxa" w:w="2376"/>
            <w:shd w:val="clear" w:color="auto" w:fill="F8FAFC"/>
            <w:tcMar>
              <w:top w:w="30" w:type="dxa"/>
              <w:bottom w:w="30" w:type="dxa"/>
              <w:left w:w="70" w:type="dxa"/>
              <w:right w:w="70" w:type="dxa"/>
            </w:tcMar>
          </w:tcPr>
          <w:p>
            <w:pPr>
              <w:spacing w:before="0" w:after="0"/>
            </w:pPr>
            <w:r>
              <w:rPr>
                <w:b/>
                <w:color w:val="0F172A"/>
                <w:sz w:val="15"/>
              </w:rPr>
              <w:t>Vector Retrieval (RAG)</w:t>
            </w:r>
          </w:p>
        </w:tc>
        <w:tc>
          <w:tcPr>
            <w:tcW w:type="dxa" w:w="4104"/>
            <w:shd w:val="clear" w:color="auto" w:fill="F8FAFC"/>
            <w:tcMar>
              <w:top w:w="30" w:type="dxa"/>
              <w:bottom w:w="30" w:type="dxa"/>
              <w:left w:w="70" w:type="dxa"/>
              <w:right w:w="70" w:type="dxa"/>
            </w:tcMar>
          </w:tcPr>
          <w:p>
            <w:pPr>
              <w:spacing w:before="0" w:after="0"/>
            </w:pPr>
            <w:r>
              <w:rPr>
                <w:color w:val="334155"/>
                <w:sz w:val="15"/>
              </w:rPr>
              <w:t>In-DB 384-dimensional vector arrays with Python Cosine Similarity</w:t>
            </w:r>
          </w:p>
        </w:tc>
        <w:tc>
          <w:tcPr>
            <w:tcW w:type="dxa" w:w="3470"/>
            <w:shd w:val="clear" w:color="auto" w:fill="F8FAFC"/>
            <w:tcMar>
              <w:top w:w="30" w:type="dxa"/>
              <w:bottom w:w="30" w:type="dxa"/>
              <w:left w:w="70" w:type="dxa"/>
              <w:right w:w="70" w:type="dxa"/>
            </w:tcMar>
          </w:tcPr>
          <w:p>
            <w:pPr>
              <w:spacing w:before="0" w:after="0"/>
            </w:pPr>
            <w:r>
              <w:rPr>
                <w:color w:val="475569"/>
                <w:sz w:val="15"/>
              </w:rPr>
              <w:t>Semantic search across internal reference knowledge documents</w:t>
            </w:r>
          </w:p>
        </w:tc>
      </w:tr>
      <w:tr>
        <w:tc>
          <w:tcPr>
            <w:tcW w:type="dxa" w:w="2376"/>
            <w:shd w:val="clear" w:color="auto" w:fill="FFFFFF"/>
            <w:tcMar>
              <w:top w:w="30" w:type="dxa"/>
              <w:bottom w:w="30" w:type="dxa"/>
              <w:left w:w="70" w:type="dxa"/>
              <w:right w:w="70" w:type="dxa"/>
            </w:tcMar>
          </w:tcPr>
          <w:p>
            <w:pPr>
              <w:spacing w:before="0" w:after="0"/>
            </w:pPr>
            <w:r>
              <w:rPr>
                <w:b/>
                <w:color w:val="0F172A"/>
                <w:sz w:val="15"/>
              </w:rPr>
              <w:t>Integrity &amp; Governance</w:t>
            </w:r>
          </w:p>
        </w:tc>
        <w:tc>
          <w:tcPr>
            <w:tcW w:type="dxa" w:w="4104"/>
            <w:shd w:val="clear" w:color="auto" w:fill="FFFFFF"/>
            <w:tcMar>
              <w:top w:w="30" w:type="dxa"/>
              <w:bottom w:w="30" w:type="dxa"/>
              <w:left w:w="70" w:type="dxa"/>
              <w:right w:w="70" w:type="dxa"/>
            </w:tcMar>
          </w:tcPr>
          <w:p>
            <w:pPr>
              <w:spacing w:before="0" w:after="0"/>
            </w:pPr>
            <w:r>
              <w:rPr>
                <w:color w:val="334155"/>
                <w:sz w:val="15"/>
              </w:rPr>
              <w:t>SHA-256 Hash Chaining, Solidity Contract (Ethereum Sepolia/Mock)</w:t>
            </w:r>
          </w:p>
        </w:tc>
        <w:tc>
          <w:tcPr>
            <w:tcW w:type="dxa" w:w="3470"/>
            <w:shd w:val="clear" w:color="auto" w:fill="FFFFFF"/>
            <w:tcMar>
              <w:top w:w="30" w:type="dxa"/>
              <w:bottom w:w="30" w:type="dxa"/>
              <w:left w:w="70" w:type="dxa"/>
              <w:right w:w="70" w:type="dxa"/>
            </w:tcMar>
          </w:tcPr>
          <w:p>
            <w:pPr>
              <w:spacing w:before="0" w:after="0"/>
            </w:pPr>
            <w:r>
              <w:rPr>
                <w:color w:val="475569"/>
                <w:sz w:val="15"/>
              </w:rPr>
              <w:t>Cryptographic audit trail, version tracking &amp; non-repudiation</w:t>
            </w:r>
          </w:p>
        </w:tc>
      </w:tr>
      <w:tr>
        <w:tc>
          <w:tcPr>
            <w:tcW w:type="dxa" w:w="2376"/>
            <w:shd w:val="clear" w:color="auto" w:fill="F8FAFC"/>
            <w:tcMar>
              <w:top w:w="30" w:type="dxa"/>
              <w:bottom w:w="30" w:type="dxa"/>
              <w:left w:w="70" w:type="dxa"/>
              <w:right w:w="70" w:type="dxa"/>
            </w:tcMar>
          </w:tcPr>
          <w:p>
            <w:pPr>
              <w:spacing w:before="0" w:after="0"/>
            </w:pPr>
            <w:r>
              <w:rPr>
                <w:b/>
                <w:color w:val="0F172A"/>
                <w:sz w:val="15"/>
              </w:rPr>
              <w:t>Content Generation</w:t>
            </w:r>
          </w:p>
        </w:tc>
        <w:tc>
          <w:tcPr>
            <w:tcW w:type="dxa" w:w="4104"/>
            <w:shd w:val="clear" w:color="auto" w:fill="F8FAFC"/>
            <w:tcMar>
              <w:top w:w="30" w:type="dxa"/>
              <w:bottom w:w="30" w:type="dxa"/>
              <w:left w:w="70" w:type="dxa"/>
              <w:right w:w="70" w:type="dxa"/>
            </w:tcMar>
          </w:tcPr>
          <w:p>
            <w:pPr>
              <w:spacing w:before="0" w:after="0"/>
            </w:pPr>
            <w:r>
              <w:rPr>
                <w:color w:val="334155"/>
                <w:sz w:val="15"/>
              </w:rPr>
              <w:t>python-pptx (Widescreen slides), python-docx, Structured JSON</w:t>
            </w:r>
          </w:p>
        </w:tc>
        <w:tc>
          <w:tcPr>
            <w:tcW w:type="dxa" w:w="3470"/>
            <w:shd w:val="clear" w:color="auto" w:fill="F8FAFC"/>
            <w:tcMar>
              <w:top w:w="30" w:type="dxa"/>
              <w:bottom w:w="30" w:type="dxa"/>
              <w:left w:w="70" w:type="dxa"/>
              <w:right w:w="70" w:type="dxa"/>
            </w:tcMar>
          </w:tcPr>
          <w:p>
            <w:pPr>
              <w:spacing w:before="0" w:after="0"/>
            </w:pPr>
            <w:r>
              <w:rPr>
                <w:color w:val="475569"/>
                <w:sz w:val="15"/>
              </w:rPr>
              <w:t>Simultaneous multi-format content synthesis &amp; export</w:t>
            </w:r>
          </w:p>
        </w:tc>
      </w:tr>
      <w:tr>
        <w:tc>
          <w:tcPr>
            <w:tcW w:type="dxa" w:w="2376"/>
            <w:shd w:val="clear" w:color="auto" w:fill="FFFFFF"/>
            <w:tcMar>
              <w:top w:w="30" w:type="dxa"/>
              <w:bottom w:w="30" w:type="dxa"/>
              <w:left w:w="70" w:type="dxa"/>
              <w:right w:w="70" w:type="dxa"/>
            </w:tcMar>
          </w:tcPr>
          <w:p>
            <w:pPr>
              <w:spacing w:before="0" w:after="0"/>
            </w:pPr>
            <w:r>
              <w:rPr>
                <w:b/>
                <w:color w:val="0F172A"/>
                <w:sz w:val="15"/>
              </w:rPr>
              <w:t>Publishing Automation</w:t>
            </w:r>
          </w:p>
        </w:tc>
        <w:tc>
          <w:tcPr>
            <w:tcW w:type="dxa" w:w="4104"/>
            <w:shd w:val="clear" w:color="auto" w:fill="FFFFFF"/>
            <w:tcMar>
              <w:top w:w="30" w:type="dxa"/>
              <w:bottom w:w="30" w:type="dxa"/>
              <w:left w:w="70" w:type="dxa"/>
              <w:right w:w="70" w:type="dxa"/>
            </w:tcMar>
          </w:tcPr>
          <w:p>
            <w:pPr>
              <w:spacing w:before="0" w:after="0"/>
            </w:pPr>
            <w:r>
              <w:rPr>
                <w:color w:val="334155"/>
                <w:sz w:val="15"/>
              </w:rPr>
              <w:t>n8n Webhook Integration (Social Media AI Publisher)</w:t>
            </w:r>
          </w:p>
        </w:tc>
        <w:tc>
          <w:tcPr>
            <w:tcW w:type="dxa" w:w="3470"/>
            <w:shd w:val="clear" w:color="auto" w:fill="FFFFFF"/>
            <w:tcMar>
              <w:top w:w="30" w:type="dxa"/>
              <w:bottom w:w="30" w:type="dxa"/>
              <w:left w:w="70" w:type="dxa"/>
              <w:right w:w="70" w:type="dxa"/>
            </w:tcMar>
          </w:tcPr>
          <w:p>
            <w:pPr>
              <w:spacing w:before="0" w:after="0"/>
            </w:pPr>
            <w:r>
              <w:rPr>
                <w:color w:val="475569"/>
                <w:sz w:val="15"/>
              </w:rPr>
              <w:t>Automated post-approval distribution to LinkedIn, X, and webhooks</w:t>
            </w:r>
          </w:p>
        </w:tc>
      </w:tr>
    </w:tbl>
    <w:p>
      <w:pPr>
        <w:keepNext/>
        <w:spacing w:before="120" w:after="40"/>
      </w:pPr>
      <w:r>
        <w:rPr>
          <w:b/>
          <w:color w:val="1E3A8A"/>
          <w:sz w:val="20"/>
        </w:rPr>
        <w:t>Data &amp; Control Flow</w:t>
      </w:r>
    </w:p>
    <w:tbl>
      <w:tblPr>
        <w:tblW w:type="auto" w:w="0"/>
        <w:jc w:val="center"/>
        <w:tblLook w:firstColumn="1" w:firstRow="1" w:lastColumn="0" w:lastRow="0" w:noHBand="0" w:noVBand="1" w:val="04A0"/>
      </w:tblPr>
      <w:tblGrid>
        <w:gridCol w:w="9951"/>
      </w:tblGrid>
      <w:tr>
        <w:tc>
          <w:tcPr>
            <w:tcW w:type="dxa" w:w="9950"/>
            <w:shd w:val="clear" w:color="auto" w:fill="F1F5F9"/>
            <w:tcMar>
              <w:top w:w="40" w:type="dxa"/>
              <w:bottom w:w="40" w:type="dxa"/>
              <w:left w:w="100" w:type="dxa"/>
              <w:right w:w="100" w:type="dxa"/>
            </w:tcMar>
          </w:tcPr>
          <w:p>
            <w:pPr>
              <w:spacing w:before="0" w:after="0"/>
              <w:jc w:val="center"/>
            </w:pPr>
            <w:r>
              <w:rPr>
                <w:b/>
                <w:color w:val="1E3A8A"/>
                <w:sz w:val="16"/>
              </w:rPr>
              <w:t>INPUT  →  PROCESS  →  ANALYZE  →  RESEARCH  →  VERIFY  →  STORE / SYNTHESIZE  →  TRANSFORM  →  VALIDATE  →  OUTPUT</w:t>
            </w:r>
          </w:p>
        </w:tc>
      </w:tr>
    </w:tbl>
    <w:p>
      <w:pPr>
        <w:spacing w:before="60" w:after="100" w:line="269" w:lineRule="auto"/>
      </w:pPr>
      <w:r>
        <w:rPr>
          <w:color w:val="334155"/>
          <w:sz w:val="16"/>
        </w:rPr>
        <w:t>Throughout this pipeline, extracted claims maintain explicit citation links to source page coordinates. External research findings are bound to specific empirical statements with provenance tags, ensuring that all synthesized deliverables remain factually grounded and traceable to primary evidence.</w:t>
      </w:r>
    </w:p>
    <w:p>
      <w:pPr>
        <w:keepNext/>
        <w:spacing w:before="80" w:after="40"/>
      </w:pPr>
      <w:r>
        <w:rPr>
          <w:b/>
          <w:color w:val="1E3A8A"/>
          <w:sz w:val="20"/>
        </w:rPr>
        <w:t>Key Architectural Principles</w:t>
      </w:r>
    </w:p>
    <w:p>
      <w:pPr>
        <w:spacing w:before="20" w:after="20" w:line="259" w:lineRule="auto"/>
      </w:pPr>
      <w:r>
        <w:rPr>
          <w:b/>
          <w:color w:val="0F172A"/>
          <w:sz w:val="16"/>
        </w:rPr>
        <w:t xml:space="preserve">• Evidence-Grounded Processing: </w:t>
      </w:r>
      <w:r>
        <w:rPr>
          <w:color w:val="334155"/>
          <w:sz w:val="16"/>
        </w:rPr>
        <w:t>Eliminates hallucinations by establishing a verified factual knowledge core before invoking generation engines.</w:t>
      </w:r>
    </w:p>
    <w:p>
      <w:pPr>
        <w:spacing w:before="20" w:after="20" w:line="259" w:lineRule="auto"/>
      </w:pPr>
      <w:r>
        <w:rPr>
          <w:b/>
          <w:color w:val="0F172A"/>
          <w:sz w:val="16"/>
        </w:rPr>
        <w:t xml:space="preserve">• Separation of Analysis &amp; Verification: </w:t>
      </w:r>
      <w:r>
        <w:rPr>
          <w:color w:val="334155"/>
          <w:sz w:val="16"/>
        </w:rPr>
        <w:t>Decouples initial information extraction from external research, enabling cross-source discrepancy detection.</w:t>
      </w:r>
    </w:p>
    <w:p>
      <w:pPr>
        <w:spacing w:before="20" w:after="20" w:line="259" w:lineRule="auto"/>
      </w:pPr>
      <w:r>
        <w:rPr>
          <w:b/>
          <w:color w:val="0F172A"/>
          <w:sz w:val="16"/>
        </w:rPr>
        <w:t xml:space="preserve">• Traceable Knowledge &amp; Provenance: </w:t>
      </w:r>
      <w:r>
        <w:rPr>
          <w:color w:val="334155"/>
          <w:sz w:val="16"/>
        </w:rPr>
        <w:t>Retains source page numbers, bounding coordinates, and confidence weights on every individual factual claim.</w:t>
      </w:r>
    </w:p>
    <w:p>
      <w:pPr>
        <w:spacing w:before="20" w:after="20" w:line="259" w:lineRule="auto"/>
      </w:pPr>
      <w:r>
        <w:rPr>
          <w:b/>
          <w:color w:val="0F172A"/>
          <w:sz w:val="16"/>
        </w:rPr>
        <w:t xml:space="preserve">• Modular Asynchronous Pipeline: </w:t>
      </w:r>
      <w:r>
        <w:rPr>
          <w:color w:val="334155"/>
          <w:sz w:val="16"/>
        </w:rPr>
        <w:t>Constructed with asynchronous microservices allowing parallel research execution, multi-format transformation, and pluggable AI providers.</w:t>
      </w:r>
    </w:p>
    <w:p>
      <w:pPr>
        <w:spacing w:before="20" w:after="20" w:line="259" w:lineRule="auto"/>
      </w:pPr>
      <w:r>
        <w:rPr>
          <w:b/>
          <w:color w:val="0F172A"/>
          <w:sz w:val="16"/>
        </w:rPr>
        <w:t xml:space="preserve">• Human-Controlled Final Output: </w:t>
      </w:r>
      <w:r>
        <w:rPr>
          <w:color w:val="334155"/>
          <w:sz w:val="16"/>
        </w:rPr>
        <w:t>Enforces a strict Human Approval Gate that prevents autonomous unreviewed distribution while enabling conversational refinement.</w:t>
      </w:r>
    </w:p>
    <w:p>
      <w:pPr>
        <w:keepNext/>
        <w:spacing w:before="100" w:after="40"/>
      </w:pPr>
      <w:r>
        <w:rPr>
          <w:b/>
          <w:color w:val="1E3A8A"/>
          <w:sz w:val="20"/>
        </w:rPr>
        <w:t>Deployment &amp; Runtime Architecture</w:t>
      </w:r>
    </w:p>
    <w:p>
      <w:pPr>
        <w:spacing w:before="0" w:after="0" w:line="269" w:lineRule="auto"/>
      </w:pPr>
      <w:r>
        <w:rPr>
          <w:color w:val="334155"/>
          <w:sz w:val="16"/>
        </w:rPr>
        <w:t>The system operates as a decoupled microservice architecture: the Next.js 15 frontend communicates via asynchronous REST APIs with the FastAPI backend. For official Smart India Hackathon (SIH) evaluation, the platform is designed for complete local zero-configuration execution using an embedded SQLite database (content_transformer.db) and a built-in offline Mock AI provider, requiring no external database servers or paid API keys. For production scaling, the platform supports containerized deployment via Docker Compose with remote PostgreSQL persistence and cloud LLM endpoints (Gemini / OpenAI / Ollama).</w:t>
      </w:r>
    </w:p>
    <w:sectPr w:rsidR="00FC693F" w:rsidRPr="0006063C" w:rsidSect="00034616">
      <w:headerReference w:type="default" r:id="rId9"/>
      <w:footerReference w:type="default" r:id="rId10"/>
      <w:pgSz w:w="11909" w:h="16834"/>
      <w:pgMar w:top="792"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 xml:space="preserve">Smart India Hackathon (SIH)  |  Page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1E3A8A"/>
        <w:sz w:val="17"/>
      </w:rPr>
      <w:t xml:space="preserve">ConteX AI  |  </w:t>
    </w:r>
    <w:r>
      <w:rPr>
        <w:rFonts w:ascii="Calibri" w:hAnsi="Calibri"/>
        <w:color w:val="64748B"/>
        <w:sz w:val="17"/>
      </w:rPr>
      <w:t>SIH Architecture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