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32"/>
        </w:rPr>
        <w:t>ConteX AI</w:t>
      </w:r>
    </w:p>
    <w:p>
      <w:pPr>
        <w:keepNext/>
        <w:spacing w:before="0" w:after="40"/>
      </w:pPr>
      <w:r>
        <w:rPr>
          <w:b/>
          <w:color w:val="0F172A"/>
          <w:sz w:val="26"/>
        </w:rPr>
        <w:t>Expected Solution / Deliverables for Evaluation</w:t>
      </w:r>
    </w:p>
    <w:p>
      <w:pPr>
        <w:keepNext/>
        <w:spacing w:before="0" w:after="120"/>
      </w:pPr>
      <w:r>
        <w:rPr>
          <w:b/>
          <w:color w:val="64748B"/>
          <w:sz w:val="19"/>
        </w:rPr>
        <w:t>Smart India Hackathon (SIH)</w:t>
      </w:r>
    </w:p>
    <w:p>
      <w:pPr>
        <w:spacing w:before="0" w:after="160" w:line="276" w:lineRule="auto"/>
      </w:pPr>
      <w:r>
        <w:rPr>
          <w:color w:val="334155"/>
          <w:sz w:val="19"/>
        </w:rPr>
        <w:t>ConteX AI is an AI-powered information verification and transformation platform that helps users process unstructured information, research supporting evidence, verify claims across sources, and transform verified knowledge into reusable content. The submitted solution is a functional working prototype demonstrating the implemented end-to-end workflow.</w:t>
      </w:r>
    </w:p>
    <w:p>
      <w:pPr>
        <w:keepNext/>
        <w:spacing w:before="80" w:after="60"/>
      </w:pPr>
      <w:r>
        <w:rPr>
          <w:b/>
          <w:color w:val="1E3A8A"/>
          <w:sz w:val="22"/>
        </w:rPr>
        <w:t>1. Working Solution</w:t>
      </w:r>
    </w:p>
    <w:p>
      <w:pPr>
        <w:spacing w:before="0" w:after="160" w:line="276" w:lineRule="auto"/>
      </w:pPr>
      <w:r>
        <w:t>ConteX AI accepts unstructured documents and web information as input, uses AI to analyze and extract key factual assertions, and independently researches supporting evidence to verify critical claims. The system establishes a single verified, traceable knowledge foundation and transforms that knowledge into multiple tailored communication deliverables under an accountable human approval model.</w:t>
      </w:r>
    </w:p>
    <w:p>
      <w:pPr>
        <w:keepNext/>
        <w:spacing w:before="80" w:after="80"/>
      </w:pPr>
      <w:r>
        <w:rPr>
          <w:b/>
          <w:color w:val="1E3A8A"/>
          <w:sz w:val="22"/>
        </w:rPr>
        <w:t>2. Core Functional Deliverables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874"/>
        <w:gridCol w:w="4874"/>
      </w:tblGrid>
      <w:tr>
        <w:tc>
          <w:tcPr>
            <w:tcW w:type="dxa" w:w="4867"/>
            <w:shd w:val="clear" w:color="auto" w:fill="F8FAFC"/>
            <w:tcMar>
              <w:top w:w="80" w:type="dxa"/>
              <w:bottom w:w="80" w:type="dxa"/>
              <w:left w:w="120" w:type="dxa"/>
              <w:right w:w="120" w:type="dxa"/>
            </w:tcMar>
          </w:tcPr>
          <w:p>
            <w:pPr>
              <w:spacing w:before="0" w:after="40"/>
            </w:pPr>
            <w:r>
              <w:rPr>
                <w:b/>
                <w:color w:val="1E3A8A"/>
                <w:sz w:val="19"/>
              </w:rPr>
              <w:t>1. Information Ingestion</w:t>
            </w:r>
          </w:p>
          <w:p>
            <w:pPr>
              <w:spacing w:before="0" w:after="0" w:line="269" w:lineRule="auto"/>
            </w:pPr>
            <w:r>
              <w:rPr>
                <w:color w:val="334155"/>
                <w:sz w:val="17"/>
              </w:rPr>
              <w:t>Uploads and processes supported files (PDF, Word, Plain Text) and web sources with built-in input sanitization and security controls.</w:t>
            </w:r>
          </w:p>
        </w:tc>
        <w:tc>
          <w:tcPr>
            <w:tcW w:type="dxa" w:w="4867"/>
            <w:shd w:val="clear" w:color="auto" w:fill="F8FAFC"/>
            <w:tcMar>
              <w:top w:w="80" w:type="dxa"/>
              <w:bottom w:w="80" w:type="dxa"/>
              <w:left w:w="120" w:type="dxa"/>
              <w:right w:w="120" w:type="dxa"/>
            </w:tcMar>
          </w:tcPr>
          <w:p>
            <w:pPr>
              <w:spacing w:before="0" w:after="40"/>
            </w:pPr>
            <w:r>
              <w:rPr>
                <w:b/>
                <w:color w:val="1E3A8A"/>
                <w:sz w:val="19"/>
              </w:rPr>
              <w:t>2. AI Analysis</w:t>
            </w:r>
          </w:p>
          <w:p>
            <w:pPr>
              <w:spacing w:before="0" w:after="0" w:line="269" w:lineRule="auto"/>
            </w:pPr>
            <w:r>
              <w:rPr>
                <w:color w:val="334155"/>
                <w:sz w:val="17"/>
              </w:rPr>
              <w:t>Extracts key facts, claims, entities, chronological events, metrics, and risks into a centralized factual representation while redacting sensitive data.</w:t>
            </w:r>
          </w:p>
        </w:tc>
      </w:tr>
      <w:tr>
        <w:tc>
          <w:tcPr>
            <w:tcW w:type="dxa" w:w="4867"/>
            <w:shd w:val="clear" w:color="auto" w:fill="F8FAFC"/>
            <w:tcMar>
              <w:top w:w="80" w:type="dxa"/>
              <w:bottom w:w="80" w:type="dxa"/>
              <w:left w:w="120" w:type="dxa"/>
              <w:right w:w="120" w:type="dxa"/>
            </w:tcMar>
          </w:tcPr>
          <w:p>
            <w:pPr>
              <w:spacing w:before="0" w:after="40"/>
            </w:pPr>
            <w:r>
              <w:rPr>
                <w:b/>
                <w:color w:val="1E3A8A"/>
                <w:sz w:val="19"/>
              </w:rPr>
              <w:t>3. Research &amp; Verification</w:t>
            </w:r>
          </w:p>
          <w:p>
            <w:pPr>
              <w:spacing w:before="0" w:after="0" w:line="269" w:lineRule="auto"/>
            </w:pPr>
            <w:r>
              <w:rPr>
                <w:color w:val="334155"/>
                <w:sz w:val="17"/>
              </w:rPr>
              <w:t>Formulates targeted queries, searches external authoritative sources for corroborating evidence, and flags discrepancies across sources.</w:t>
            </w:r>
          </w:p>
        </w:tc>
        <w:tc>
          <w:tcPr>
            <w:tcW w:type="dxa" w:w="4867"/>
            <w:shd w:val="clear" w:color="auto" w:fill="F8FAFC"/>
            <w:tcMar>
              <w:top w:w="80" w:type="dxa"/>
              <w:bottom w:w="80" w:type="dxa"/>
              <w:left w:w="120" w:type="dxa"/>
              <w:right w:w="120" w:type="dxa"/>
            </w:tcMar>
          </w:tcPr>
          <w:p>
            <w:pPr>
              <w:spacing w:before="0" w:after="40"/>
            </w:pPr>
            <w:r>
              <w:rPr>
                <w:b/>
                <w:color w:val="1E3A8A"/>
                <w:sz w:val="19"/>
              </w:rPr>
              <w:t>4. Verified Knowledge</w:t>
            </w:r>
          </w:p>
          <w:p>
            <w:pPr>
              <w:spacing w:before="0" w:after="0" w:line="269" w:lineRule="auto"/>
            </w:pPr>
            <w:r>
              <w:rPr>
                <w:color w:val="334155"/>
                <w:sz w:val="17"/>
              </w:rPr>
              <w:t>Organizes findings into a structured Single Source of Truth, categorizing claims by evidence provenance and linking internal knowledge context.</w:t>
            </w:r>
          </w:p>
        </w:tc>
      </w:tr>
      <w:tr>
        <w:tc>
          <w:tcPr>
            <w:tcW w:type="dxa" w:w="4867"/>
            <w:shd w:val="clear" w:color="auto" w:fill="F8FAFC"/>
            <w:tcMar>
              <w:top w:w="80" w:type="dxa"/>
              <w:bottom w:w="80" w:type="dxa"/>
              <w:left w:w="120" w:type="dxa"/>
              <w:right w:w="120" w:type="dxa"/>
            </w:tcMar>
          </w:tcPr>
          <w:p>
            <w:pPr>
              <w:spacing w:before="0" w:after="40"/>
            </w:pPr>
            <w:r>
              <w:rPr>
                <w:b/>
                <w:color w:val="1E3A8A"/>
                <w:sz w:val="19"/>
              </w:rPr>
              <w:t>5. Content Transformation</w:t>
            </w:r>
          </w:p>
          <w:p>
            <w:pPr>
              <w:spacing w:before="0" w:after="0" w:line="269" w:lineRule="auto"/>
            </w:pPr>
            <w:r>
              <w:rPr>
                <w:color w:val="334155"/>
                <w:sz w:val="17"/>
              </w:rPr>
              <w:t>Generates multiple tailored communication formats simultaneously, including executive briefings, presentation slides, advisories, and social content.</w:t>
            </w:r>
          </w:p>
        </w:tc>
        <w:tc>
          <w:tcPr>
            <w:tcW w:type="dxa" w:w="4867"/>
            <w:shd w:val="clear" w:color="auto" w:fill="F8FAFC"/>
            <w:tcMar>
              <w:top w:w="80" w:type="dxa"/>
              <w:bottom w:w="80" w:type="dxa"/>
              <w:left w:w="120" w:type="dxa"/>
              <w:right w:w="120" w:type="dxa"/>
            </w:tcMar>
          </w:tcPr>
          <w:p>
            <w:pPr>
              <w:spacing w:before="0" w:after="40"/>
            </w:pPr>
            <w:r>
              <w:rPr>
                <w:b/>
                <w:color w:val="1E3A8A"/>
                <w:sz w:val="19"/>
              </w:rPr>
              <w:t>6. Integrity &amp; Governance</w:t>
            </w:r>
          </w:p>
          <w:p>
            <w:pPr>
              <w:spacing w:before="0" w:after="0" w:line="269" w:lineRule="auto"/>
            </w:pPr>
            <w:r>
              <w:rPr>
                <w:color w:val="334155"/>
                <w:sz w:val="17"/>
              </w:rPr>
              <w:t>Validates claims with page-level citations, tracks revision versions with cryptographic hashing, and enforces a mandatory human approval gate before use.</w:t>
            </w:r>
          </w:p>
        </w:tc>
      </w:tr>
    </w:tbl>
    <w:p>
      <w:pPr>
        <w:keepNext/>
        <w:spacing w:before="200" w:after="80"/>
      </w:pPr>
      <w:r>
        <w:rPr>
          <w:b/>
          <w:color w:val="1E3A8A"/>
          <w:sz w:val="22"/>
        </w:rPr>
        <w:t>3. End-to-End Workflow</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50"/>
        <w:gridCol w:w="3250"/>
        <w:gridCol w:w="3250"/>
      </w:tblGrid>
      <w:tr>
        <w:tc>
          <w:tcPr>
            <w:tcW w:type="dxa" w:w="3240"/>
            <w:shd w:val="clear" w:color="auto" w:fill="F1F5F9"/>
            <w:tcMar>
              <w:top w:w="70" w:type="dxa"/>
              <w:bottom w:w="70" w:type="dxa"/>
              <w:left w:w="90" w:type="dxa"/>
              <w:right w:w="90" w:type="dxa"/>
            </w:tcMar>
          </w:tcPr>
          <w:p>
            <w:pPr>
              <w:spacing w:before="0" w:after="20"/>
            </w:pPr>
            <w:r>
              <w:rPr>
                <w:b/>
                <w:color w:val="0F172A"/>
                <w:sz w:val="17"/>
              </w:rPr>
              <w:t>STEP 1: INPUT</w:t>
            </w:r>
          </w:p>
          <w:p>
            <w:pPr>
              <w:spacing w:before="0" w:after="0"/>
            </w:pPr>
            <w:r>
              <w:rPr>
                <w:color w:val="475569"/>
                <w:sz w:val="16"/>
              </w:rPr>
              <w:t>Upload documents/information</w:t>
            </w:r>
          </w:p>
        </w:tc>
        <w:tc>
          <w:tcPr>
            <w:tcW w:type="dxa" w:w="3240"/>
            <w:shd w:val="clear" w:color="auto" w:fill="FFFFFF"/>
            <w:tcMar>
              <w:top w:w="70" w:type="dxa"/>
              <w:bottom w:w="70" w:type="dxa"/>
              <w:left w:w="90" w:type="dxa"/>
              <w:right w:w="90" w:type="dxa"/>
            </w:tcMar>
          </w:tcPr>
          <w:p>
            <w:pPr>
              <w:spacing w:before="0" w:after="20"/>
            </w:pPr>
            <w:r>
              <w:rPr>
                <w:b/>
                <w:color w:val="0F172A"/>
                <w:sz w:val="17"/>
              </w:rPr>
              <w:t>STEP 2: ANALYZE</w:t>
            </w:r>
          </w:p>
          <w:p>
            <w:pPr>
              <w:spacing w:before="0" w:after="0"/>
            </w:pPr>
            <w:r>
              <w:rPr>
                <w:color w:val="475569"/>
                <w:sz w:val="16"/>
              </w:rPr>
              <w:t>Extract and understand key info</w:t>
            </w:r>
          </w:p>
        </w:tc>
        <w:tc>
          <w:tcPr>
            <w:tcW w:type="dxa" w:w="3240"/>
            <w:shd w:val="clear" w:color="auto" w:fill="F1F5F9"/>
            <w:tcMar>
              <w:top w:w="70" w:type="dxa"/>
              <w:bottom w:w="70" w:type="dxa"/>
              <w:left w:w="90" w:type="dxa"/>
              <w:right w:w="90" w:type="dxa"/>
            </w:tcMar>
          </w:tcPr>
          <w:p>
            <w:pPr>
              <w:spacing w:before="0" w:after="20"/>
            </w:pPr>
            <w:r>
              <w:rPr>
                <w:b/>
                <w:color w:val="0F172A"/>
                <w:sz w:val="17"/>
              </w:rPr>
              <w:t>STEP 3: RESEARCH</w:t>
            </w:r>
          </w:p>
          <w:p>
            <w:pPr>
              <w:spacing w:before="0" w:after="0"/>
            </w:pPr>
            <w:r>
              <w:rPr>
                <w:color w:val="475569"/>
                <w:sz w:val="16"/>
              </w:rPr>
              <w:t>Find supporting evidence</w:t>
            </w:r>
          </w:p>
        </w:tc>
      </w:tr>
      <w:tr>
        <w:tc>
          <w:tcPr>
            <w:tcW w:type="dxa" w:w="3240"/>
            <w:shd w:val="clear" w:color="auto" w:fill="FFFFFF"/>
            <w:tcMar>
              <w:top w:w="70" w:type="dxa"/>
              <w:bottom w:w="70" w:type="dxa"/>
              <w:left w:w="90" w:type="dxa"/>
              <w:right w:w="90" w:type="dxa"/>
            </w:tcMar>
          </w:tcPr>
          <w:p>
            <w:pPr>
              <w:spacing w:before="0" w:after="20"/>
            </w:pPr>
            <w:r>
              <w:rPr>
                <w:b/>
                <w:color w:val="0F172A"/>
                <w:sz w:val="17"/>
              </w:rPr>
              <w:t>STEP 4: VERIFY</w:t>
            </w:r>
          </w:p>
          <w:p>
            <w:pPr>
              <w:spacing w:before="0" w:after="0"/>
            </w:pPr>
            <w:r>
              <w:rPr>
                <w:color w:val="475569"/>
                <w:sz w:val="16"/>
              </w:rPr>
              <w:t>Cross-check claims and sources</w:t>
            </w:r>
          </w:p>
        </w:tc>
        <w:tc>
          <w:tcPr>
            <w:tcW w:type="dxa" w:w="3240"/>
            <w:shd w:val="clear" w:color="auto" w:fill="F1F5F9"/>
            <w:tcMar>
              <w:top w:w="70" w:type="dxa"/>
              <w:bottom w:w="70" w:type="dxa"/>
              <w:left w:w="90" w:type="dxa"/>
              <w:right w:w="90" w:type="dxa"/>
            </w:tcMar>
          </w:tcPr>
          <w:p>
            <w:pPr>
              <w:spacing w:before="0" w:after="20"/>
            </w:pPr>
            <w:r>
              <w:rPr>
                <w:b/>
                <w:color w:val="0F172A"/>
                <w:sz w:val="17"/>
              </w:rPr>
              <w:t>STEP 5: SYNTHESIZE</w:t>
            </w:r>
          </w:p>
          <w:p>
            <w:pPr>
              <w:spacing w:before="0" w:after="0"/>
            </w:pPr>
            <w:r>
              <w:rPr>
                <w:color w:val="475569"/>
                <w:sz w:val="16"/>
              </w:rPr>
              <w:t>Create verified knowledge</w:t>
            </w:r>
          </w:p>
        </w:tc>
        <w:tc>
          <w:tcPr>
            <w:tcW w:type="dxa" w:w="3240"/>
            <w:shd w:val="clear" w:color="auto" w:fill="FFFFFF"/>
            <w:tcMar>
              <w:top w:w="70" w:type="dxa"/>
              <w:bottom w:w="70" w:type="dxa"/>
              <w:left w:w="90" w:type="dxa"/>
              <w:right w:w="90" w:type="dxa"/>
            </w:tcMar>
          </w:tcPr>
          <w:p>
            <w:pPr>
              <w:spacing w:before="0" w:after="20"/>
            </w:pPr>
            <w:r>
              <w:rPr>
                <w:b/>
                <w:color w:val="0F172A"/>
                <w:sz w:val="17"/>
              </w:rPr>
              <w:t>STEP 6: TRANSFORM</w:t>
            </w:r>
          </w:p>
          <w:p>
            <w:pPr>
              <w:spacing w:before="0" w:after="0"/>
            </w:pPr>
            <w:r>
              <w:rPr>
                <w:color w:val="475569"/>
                <w:sz w:val="16"/>
              </w:rPr>
              <w:t>Generate useful content</w:t>
            </w:r>
          </w:p>
        </w:tc>
      </w:tr>
      <w:tr>
        <w:tc>
          <w:tcPr>
            <w:tcW w:type="dxa" w:w="3240"/>
            <w:shd w:val="clear" w:color="auto" w:fill="F1F5F9"/>
            <w:tcMar>
              <w:top w:w="70" w:type="dxa"/>
              <w:bottom w:w="70" w:type="dxa"/>
              <w:left w:w="90" w:type="dxa"/>
              <w:right w:w="90" w:type="dxa"/>
            </w:tcMar>
          </w:tcPr>
          <w:p>
            <w:pPr>
              <w:spacing w:before="0" w:after="20"/>
            </w:pPr>
            <w:r>
              <w:rPr>
                <w:b/>
                <w:color w:val="0F172A"/>
                <w:sz w:val="17"/>
              </w:rPr>
              <w:t>STEP 7: FACT-CHECK</w:t>
            </w:r>
          </w:p>
          <w:p>
            <w:pPr>
              <w:spacing w:before="0" w:after="0"/>
            </w:pPr>
            <w:r>
              <w:rPr>
                <w:color w:val="475569"/>
                <w:sz w:val="16"/>
              </w:rPr>
              <w:t>Validate generated outputs</w:t>
            </w:r>
          </w:p>
        </w:tc>
        <w:tc>
          <w:tcPr>
            <w:tcW w:type="dxa" w:w="3240"/>
            <w:shd w:val="clear" w:color="auto" w:fill="FFFFFF"/>
            <w:tcMar>
              <w:top w:w="70" w:type="dxa"/>
              <w:bottom w:w="70" w:type="dxa"/>
              <w:left w:w="90" w:type="dxa"/>
              <w:right w:w="90" w:type="dxa"/>
            </w:tcMar>
          </w:tcPr>
          <w:p>
            <w:pPr>
              <w:spacing w:before="0" w:after="20"/>
            </w:pPr>
            <w:r>
              <w:rPr>
                <w:b/>
                <w:color w:val="0F172A"/>
                <w:sz w:val="17"/>
              </w:rPr>
              <w:t>STEP 8: HUMAN APPROVAL</w:t>
            </w:r>
          </w:p>
          <w:p>
            <w:pPr>
              <w:spacing w:before="0" w:after="0"/>
            </w:pPr>
            <w:r>
              <w:rPr>
                <w:color w:val="475569"/>
                <w:sz w:val="16"/>
              </w:rPr>
              <w:t>Review before final publishing</w:t>
            </w:r>
          </w:p>
        </w:tc>
        <w:tc>
          <w:tcPr>
            <w:tcW w:type="dxa" w:w="3240"/>
            <w:shd w:val="clear" w:color="auto" w:fill="F1F5F9"/>
            <w:tcMar>
              <w:top w:w="70" w:type="dxa"/>
              <w:bottom w:w="70" w:type="dxa"/>
              <w:left w:w="90" w:type="dxa"/>
              <w:right w:w="90" w:type="dxa"/>
            </w:tcMar>
          </w:tcPr>
          <w:p>
            <w:pPr>
              <w:spacing w:before="0" w:after="20"/>
            </w:pPr>
            <w:r>
              <w:rPr>
                <w:b/>
                <w:color w:val="0F172A"/>
                <w:sz w:val="17"/>
              </w:rPr>
              <w:t>STEP 9: OUTPUT</w:t>
            </w:r>
          </w:p>
          <w:p>
            <w:pPr>
              <w:spacing w:before="0" w:after="0"/>
            </w:pPr>
            <w:r>
              <w:rPr>
                <w:color w:val="475569"/>
                <w:sz w:val="16"/>
              </w:rPr>
              <w:t>Deliver verified, reusable content</w:t>
            </w:r>
          </w:p>
        </w:tc>
      </w:tr>
    </w:tbl>
    <w:p>
      <w:r>
        <w:br w:type="page"/>
      </w:r>
    </w:p>
    <w:p>
      <w:pPr>
        <w:keepNext/>
        <w:spacing w:before="0" w:after="80"/>
      </w:pPr>
      <w:r>
        <w:rPr>
          <w:b/>
          <w:color w:val="1E3A8A"/>
          <w:sz w:val="22"/>
        </w:rPr>
        <w:t>4. Deliverables Provided to Evaluators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874"/>
        <w:gridCol w:w="4874"/>
      </w:tblGrid>
      <w:tr>
        <w:tc>
          <w:tcPr>
            <w:tcW w:type="dxa" w:w="3024"/>
            <w:shd w:val="clear" w:color="auto" w:fill="1E3A8A"/>
            <w:tcMar>
              <w:top w:w="80" w:type="dxa"/>
              <w:bottom w:w="80" w:type="dxa"/>
              <w:left w:w="110" w:type="dxa"/>
              <w:right w:w="110" w:type="dxa"/>
            </w:tcMar>
          </w:tcPr>
          <w:p>
            <w:pPr>
              <w:spacing w:before="0" w:after="0"/>
            </w:pPr>
            <w:r>
              <w:rPr>
                <w:b/>
                <w:color w:val="FFFFFF"/>
                <w:sz w:val="18"/>
              </w:rPr>
              <w:t>Deliverable</w:t>
            </w:r>
          </w:p>
        </w:tc>
        <w:tc>
          <w:tcPr>
            <w:tcW w:type="dxa" w:w="6725"/>
            <w:shd w:val="clear" w:color="auto" w:fill="1E3A8A"/>
            <w:tcMar>
              <w:top w:w="80" w:type="dxa"/>
              <w:bottom w:w="80" w:type="dxa"/>
              <w:left w:w="110" w:type="dxa"/>
              <w:right w:w="110" w:type="dxa"/>
            </w:tcMar>
          </w:tcPr>
          <w:p>
            <w:pPr>
              <w:spacing w:before="0" w:after="0"/>
            </w:pPr>
            <w:r>
              <w:rPr>
                <w:b/>
                <w:color w:val="FFFFFF"/>
                <w:sz w:val="18"/>
              </w:rPr>
              <w:t>What It Provides</w:t>
            </w:r>
          </w:p>
        </w:tc>
      </w:tr>
      <w:tr>
        <w:tc>
          <w:tcPr>
            <w:tcW w:type="dxa" w:w="3024"/>
            <w:shd w:val="clear" w:color="auto" w:fill="F8FAFC"/>
            <w:tcMar>
              <w:top w:w="60" w:type="dxa"/>
              <w:bottom w:w="60" w:type="dxa"/>
              <w:left w:w="110" w:type="dxa"/>
              <w:right w:w="110" w:type="dxa"/>
            </w:tcMar>
          </w:tcPr>
          <w:p>
            <w:pPr>
              <w:spacing w:before="0" w:after="0"/>
            </w:pPr>
            <w:r>
              <w:rPr>
                <w:b/>
                <w:color w:val="0F172A"/>
                <w:sz w:val="17"/>
              </w:rPr>
              <w:t>Working Prototype</w:t>
            </w:r>
          </w:p>
        </w:tc>
        <w:tc>
          <w:tcPr>
            <w:tcW w:type="dxa" w:w="6725"/>
            <w:shd w:val="clear" w:color="auto" w:fill="F8FAFC"/>
            <w:tcMar>
              <w:top w:w="60" w:type="dxa"/>
              <w:bottom w:w="60" w:type="dxa"/>
              <w:left w:w="110" w:type="dxa"/>
              <w:right w:w="110" w:type="dxa"/>
            </w:tcMar>
          </w:tcPr>
          <w:p>
            <w:pPr>
              <w:spacing w:before="0" w:after="0"/>
            </w:pPr>
            <w:r>
              <w:rPr>
                <w:color w:val="334155"/>
                <w:sz w:val="17"/>
              </w:rPr>
              <w:t>Functional ConteX AI application demonstrating the implemented end-to-end workflow</w:t>
            </w:r>
          </w:p>
        </w:tc>
      </w:tr>
      <w:tr>
        <w:tc>
          <w:tcPr>
            <w:tcW w:type="dxa" w:w="3024"/>
            <w:shd w:val="clear" w:color="auto" w:fill="FFFFFF"/>
            <w:tcMar>
              <w:top w:w="60" w:type="dxa"/>
              <w:bottom w:w="60" w:type="dxa"/>
              <w:left w:w="110" w:type="dxa"/>
              <w:right w:w="110" w:type="dxa"/>
            </w:tcMar>
          </w:tcPr>
          <w:p>
            <w:pPr>
              <w:spacing w:before="0" w:after="0"/>
            </w:pPr>
            <w:r>
              <w:rPr>
                <w:b/>
                <w:color w:val="0F172A"/>
                <w:sz w:val="17"/>
              </w:rPr>
              <w:t>Source Code</w:t>
            </w:r>
          </w:p>
        </w:tc>
        <w:tc>
          <w:tcPr>
            <w:tcW w:type="dxa" w:w="6725"/>
            <w:shd w:val="clear" w:color="auto" w:fill="FFFFFF"/>
            <w:tcMar>
              <w:top w:w="60" w:type="dxa"/>
              <w:bottom w:w="60" w:type="dxa"/>
              <w:left w:w="110" w:type="dxa"/>
              <w:right w:w="110" w:type="dxa"/>
            </w:tcMar>
          </w:tcPr>
          <w:p>
            <w:pPr>
              <w:spacing w:before="0" w:after="0"/>
            </w:pPr>
            <w:r>
              <w:rPr>
                <w:color w:val="334155"/>
                <w:sz w:val="17"/>
              </w:rPr>
              <w:t>Complete project source code repository</w:t>
            </w:r>
          </w:p>
        </w:tc>
      </w:tr>
      <w:tr>
        <w:tc>
          <w:tcPr>
            <w:tcW w:type="dxa" w:w="3024"/>
            <w:shd w:val="clear" w:color="auto" w:fill="F8FAFC"/>
            <w:tcMar>
              <w:top w:w="60" w:type="dxa"/>
              <w:bottom w:w="60" w:type="dxa"/>
              <w:left w:w="110" w:type="dxa"/>
              <w:right w:w="110" w:type="dxa"/>
            </w:tcMar>
          </w:tcPr>
          <w:p>
            <w:pPr>
              <w:spacing w:before="0" w:after="0"/>
            </w:pPr>
            <w:r>
              <w:rPr>
                <w:b/>
                <w:color w:val="0F172A"/>
                <w:sz w:val="17"/>
              </w:rPr>
              <w:t>README</w:t>
            </w:r>
          </w:p>
        </w:tc>
        <w:tc>
          <w:tcPr>
            <w:tcW w:type="dxa" w:w="6725"/>
            <w:shd w:val="clear" w:color="auto" w:fill="F8FAFC"/>
            <w:tcMar>
              <w:top w:w="60" w:type="dxa"/>
              <w:bottom w:w="60" w:type="dxa"/>
              <w:left w:w="110" w:type="dxa"/>
              <w:right w:w="110" w:type="dxa"/>
            </w:tcMar>
          </w:tcPr>
          <w:p>
            <w:pPr>
              <w:spacing w:before="0" w:after="0"/>
            </w:pPr>
            <w:r>
              <w:rPr>
                <w:color w:val="334155"/>
                <w:sz w:val="17"/>
              </w:rPr>
              <w:t>Setup, configuration, installation, and usage instructions</w:t>
            </w:r>
          </w:p>
        </w:tc>
      </w:tr>
      <w:tr>
        <w:tc>
          <w:tcPr>
            <w:tcW w:type="dxa" w:w="3024"/>
            <w:shd w:val="clear" w:color="auto" w:fill="FFFFFF"/>
            <w:tcMar>
              <w:top w:w="60" w:type="dxa"/>
              <w:bottom w:w="60" w:type="dxa"/>
              <w:left w:w="110" w:type="dxa"/>
              <w:right w:w="110" w:type="dxa"/>
            </w:tcMar>
          </w:tcPr>
          <w:p>
            <w:pPr>
              <w:spacing w:before="0" w:after="0"/>
            </w:pPr>
            <w:r>
              <w:rPr>
                <w:b/>
                <w:color w:val="0F172A"/>
                <w:sz w:val="17"/>
              </w:rPr>
              <w:t>Architecture Document</w:t>
            </w:r>
          </w:p>
        </w:tc>
        <w:tc>
          <w:tcPr>
            <w:tcW w:type="dxa" w:w="6725"/>
            <w:shd w:val="clear" w:color="auto" w:fill="FFFFFF"/>
            <w:tcMar>
              <w:top w:w="60" w:type="dxa"/>
              <w:bottom w:w="60" w:type="dxa"/>
              <w:left w:w="110" w:type="dxa"/>
              <w:right w:w="110" w:type="dxa"/>
            </w:tcMar>
          </w:tcPr>
          <w:p>
            <w:pPr>
              <w:spacing w:before="0" w:after="0"/>
            </w:pPr>
            <w:r>
              <w:rPr>
                <w:color w:val="334155"/>
                <w:sz w:val="17"/>
              </w:rPr>
              <w:t>Technical system architecture and component design specification</w:t>
            </w:r>
          </w:p>
        </w:tc>
      </w:tr>
      <w:tr>
        <w:tc>
          <w:tcPr>
            <w:tcW w:type="dxa" w:w="3024"/>
            <w:shd w:val="clear" w:color="auto" w:fill="F8FAFC"/>
            <w:tcMar>
              <w:top w:w="60" w:type="dxa"/>
              <w:bottom w:w="60" w:type="dxa"/>
              <w:left w:w="110" w:type="dxa"/>
              <w:right w:w="110" w:type="dxa"/>
            </w:tcMar>
          </w:tcPr>
          <w:p>
            <w:pPr>
              <w:spacing w:before="0" w:after="0"/>
            </w:pPr>
            <w:r>
              <w:rPr>
                <w:b/>
                <w:color w:val="0F172A"/>
                <w:sz w:val="17"/>
              </w:rPr>
              <w:t>Demo Video</w:t>
            </w:r>
          </w:p>
        </w:tc>
        <w:tc>
          <w:tcPr>
            <w:tcW w:type="dxa" w:w="6725"/>
            <w:shd w:val="clear" w:color="auto" w:fill="F8FAFC"/>
            <w:tcMar>
              <w:top w:w="60" w:type="dxa"/>
              <w:bottom w:w="60" w:type="dxa"/>
              <w:left w:w="110" w:type="dxa"/>
              <w:right w:w="110" w:type="dxa"/>
            </w:tcMar>
          </w:tcPr>
          <w:p>
            <w:pPr>
              <w:spacing w:before="0" w:after="0"/>
            </w:pPr>
            <w:r>
              <w:rPr>
                <w:color w:val="334155"/>
                <w:sz w:val="17"/>
              </w:rPr>
              <w:t>Maximum 2-minute demonstration of the working solution</w:t>
            </w:r>
          </w:p>
        </w:tc>
      </w:tr>
      <w:tr>
        <w:tc>
          <w:tcPr>
            <w:tcW w:type="dxa" w:w="3024"/>
            <w:shd w:val="clear" w:color="auto" w:fill="FFFFFF"/>
            <w:tcMar>
              <w:top w:w="60" w:type="dxa"/>
              <w:bottom w:w="60" w:type="dxa"/>
              <w:left w:w="110" w:type="dxa"/>
              <w:right w:w="110" w:type="dxa"/>
            </w:tcMar>
          </w:tcPr>
          <w:p>
            <w:pPr>
              <w:spacing w:before="0" w:after="0"/>
            </w:pPr>
            <w:r>
              <w:rPr>
                <w:b/>
                <w:color w:val="0F172A"/>
                <w:sz w:val="17"/>
              </w:rPr>
              <w:t>Technical Presentation</w:t>
            </w:r>
          </w:p>
        </w:tc>
        <w:tc>
          <w:tcPr>
            <w:tcW w:type="dxa" w:w="6725"/>
            <w:shd w:val="clear" w:color="auto" w:fill="FFFFFF"/>
            <w:tcMar>
              <w:top w:w="60" w:type="dxa"/>
              <w:bottom w:w="60" w:type="dxa"/>
              <w:left w:w="110" w:type="dxa"/>
              <w:right w:w="110" w:type="dxa"/>
            </w:tcMar>
          </w:tcPr>
          <w:p>
            <w:pPr>
              <w:spacing w:before="0" w:after="0"/>
            </w:pPr>
            <w:r>
              <w:rPr>
                <w:color w:val="334155"/>
                <w:sz w:val="17"/>
              </w:rPr>
              <w:t>Maximum 5-slide presentation covering problem, solution, implementation, and impact</w:t>
            </w:r>
          </w:p>
        </w:tc>
      </w:tr>
    </w:tbl>
    <w:p>
      <w:pPr>
        <w:keepNext/>
        <w:spacing w:before="240" w:after="80"/>
      </w:pPr>
      <w:r>
        <w:rPr>
          <w:b/>
          <w:color w:val="1E3A8A"/>
          <w:sz w:val="22"/>
        </w:rPr>
        <w:t>5. What Can Be Evaluated</w:t>
      </w:r>
    </w:p>
    <w:p>
      <w:pPr>
        <w:spacing w:before="30" w:after="30" w:line="269" w:lineRule="auto"/>
      </w:pPr>
      <w:r>
        <w:rPr>
          <w:b/>
          <w:color w:val="0F172A"/>
          <w:sz w:val="18"/>
        </w:rPr>
        <w:t xml:space="preserve">• End-to-End Functionality: </w:t>
      </w:r>
      <w:r>
        <w:rPr>
          <w:color w:val="334155"/>
          <w:sz w:val="18"/>
        </w:rPr>
        <w:t>Complete automated pipeline operating from raw document upload to multi-format generation.</w:t>
      </w:r>
    </w:p>
    <w:p>
      <w:pPr>
        <w:spacing w:before="30" w:after="30" w:line="269" w:lineRule="auto"/>
      </w:pPr>
      <w:r>
        <w:rPr>
          <w:b/>
          <w:color w:val="0F172A"/>
          <w:sz w:val="18"/>
        </w:rPr>
        <w:t xml:space="preserve">• AI-Powered Information Analysis: </w:t>
      </w:r>
      <w:r>
        <w:rPr>
          <w:color w:val="334155"/>
          <w:sz w:val="18"/>
        </w:rPr>
        <w:t>Extraction of key facts, named entities, timelines, and empirical metrics without hallucination.</w:t>
      </w:r>
    </w:p>
    <w:p>
      <w:pPr>
        <w:spacing w:before="30" w:after="30" w:line="269" w:lineRule="auto"/>
      </w:pPr>
      <w:r>
        <w:rPr>
          <w:b/>
          <w:color w:val="0F172A"/>
          <w:sz w:val="18"/>
        </w:rPr>
        <w:t xml:space="preserve">• Research &amp; Information Verification: </w:t>
      </w:r>
      <w:r>
        <w:rPr>
          <w:color w:val="334155"/>
          <w:sz w:val="18"/>
        </w:rPr>
        <w:t>Targeted query formulation, authoritative source retrieval, and identification of conflicting claims.</w:t>
      </w:r>
    </w:p>
    <w:p>
      <w:pPr>
        <w:spacing w:before="30" w:after="30" w:line="269" w:lineRule="auto"/>
      </w:pPr>
      <w:r>
        <w:rPr>
          <w:b/>
          <w:color w:val="0F172A"/>
          <w:sz w:val="18"/>
        </w:rPr>
        <w:t xml:space="preserve">• Evidence &amp; Source Traceability: </w:t>
      </w:r>
      <w:r>
        <w:rPr>
          <w:color w:val="334155"/>
          <w:sz w:val="18"/>
        </w:rPr>
        <w:t>Claim-to-source citation matching with clickable sentence-level excerpts and page numbers.</w:t>
      </w:r>
    </w:p>
    <w:p>
      <w:pPr>
        <w:spacing w:before="30" w:after="30" w:line="269" w:lineRule="auto"/>
      </w:pPr>
      <w:r>
        <w:rPr>
          <w:b/>
          <w:color w:val="0F172A"/>
          <w:sz w:val="18"/>
        </w:rPr>
        <w:t xml:space="preserve">• Quality of Generated Outputs: </w:t>
      </w:r>
      <w:r>
        <w:rPr>
          <w:color w:val="334155"/>
          <w:sz w:val="18"/>
        </w:rPr>
        <w:t>Readability, completeness, structural fidelity, and practical utility of synthesized deliverables.</w:t>
      </w:r>
    </w:p>
    <w:p>
      <w:pPr>
        <w:spacing w:before="30" w:after="30" w:line="269" w:lineRule="auto"/>
      </w:pPr>
      <w:r>
        <w:rPr>
          <w:b/>
          <w:color w:val="0F172A"/>
          <w:sz w:val="18"/>
        </w:rPr>
        <w:t xml:space="preserve">• Ease of Use: </w:t>
      </w:r>
      <w:r>
        <w:rPr>
          <w:color w:val="334155"/>
          <w:sz w:val="18"/>
        </w:rPr>
        <w:t>Intuitive web interface featuring a 1-Click NovaTech Demo for fast 2-minute judge assessment.</w:t>
      </w:r>
    </w:p>
    <w:p>
      <w:pPr>
        <w:spacing w:before="30" w:after="30" w:line="269" w:lineRule="auto"/>
      </w:pPr>
      <w:r>
        <w:rPr>
          <w:b/>
          <w:color w:val="0F172A"/>
          <w:sz w:val="18"/>
        </w:rPr>
        <w:t xml:space="preserve">• Technical Implementation &amp; Security: </w:t>
      </w:r>
      <w:r>
        <w:rPr>
          <w:color w:val="334155"/>
          <w:sz w:val="18"/>
        </w:rPr>
        <w:t>Modular backend architecture, strict data validation schemas, and prompt injection/SSRF protection.</w:t>
      </w:r>
    </w:p>
    <w:p>
      <w:pPr>
        <w:spacing w:before="30" w:after="30" w:line="269" w:lineRule="auto"/>
      </w:pPr>
      <w:r>
        <w:rPr>
          <w:b/>
          <w:color w:val="0F172A"/>
          <w:sz w:val="18"/>
        </w:rPr>
        <w:t xml:space="preserve">• Real-World Applicability &amp; Scalability: </w:t>
      </w:r>
      <w:r>
        <w:rPr>
          <w:color w:val="334155"/>
          <w:sz w:val="18"/>
        </w:rPr>
        <w:t>Practical value for enterprise documentation, intelligence briefs, advisories, and publishing workflows.</w:t>
      </w:r>
    </w:p>
    <w:p>
      <w:pPr>
        <w:keepNext/>
        <w:spacing w:before="240" w:after="60"/>
      </w:pPr>
      <w:r>
        <w:rPr>
          <w:b/>
          <w:color w:val="1E3A8A"/>
          <w:sz w:val="22"/>
        </w:rPr>
        <w:t>6. Expected Outcome</w:t>
      </w:r>
    </w:p>
    <w:p>
      <w:pPr>
        <w:spacing w:before="0" w:after="0" w:line="276" w:lineRule="auto"/>
      </w:pPr>
      <w:r>
        <w:t>ConteX AI provides a unified workflow for moving from raw information to researched evidence, verified knowledge, and reusable content. By combining AI analysis, research, verification, and controlled content generation, the platform aims to reduce the manual effort required to understand, validate, and reuse information.</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E3A8A"/>
        <w:sz w:val="18"/>
      </w:rPr>
      <w:t xml:space="preserve">ConteX AI  |  </w:t>
    </w:r>
    <w:r>
      <w:rPr>
        <w:rFonts w:ascii="Calibri" w:hAnsi="Calibri"/>
        <w:color w:val="64748B"/>
        <w:sz w:val="18"/>
      </w:rPr>
      <w:t>SIH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