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48"/>
        </w:rPr>
        <w:t>Proposal: Leveraging Generative AI for Enhanced Enterprise Operations</w:t>
      </w:r>
    </w:p>
    <w:p>
      <w:pPr>
        <w:pStyle w:val="Heading1"/>
      </w:pPr>
      <w:r>
        <w:rPr>
          <w:b/>
          <w:sz w:val="30"/>
        </w:rPr>
        <w:t>Executive Summary</w:t>
      </w:r>
    </w:p>
    <w:p>
      <w:pPr>
        <w:spacing w:after="200"/>
      </w:pPr>
      <w:r>
        <w:rPr>
          <w:sz w:val="21"/>
        </w:rPr>
        <w:t>This proposal outlines the latest trends in Generative AI and presents a strategic framework for their integration into enterprise operations, with a specific focus on enhancing customer support capabilities and overall efficiency. By adopting advanced AI tools, we aim to reduce response times, improve service consistency, and empower our teams with intelligent assistance, while maintaining human oversight and adherence to established policies.</w:t>
      </w:r>
    </w:p>
    <w:p>
      <w:pPr>
        <w:pStyle w:val="Heading1"/>
        <w:spacing w:before="240" w:after="120"/>
      </w:pPr>
      <w:r>
        <w:rPr>
          <w:b/>
          <w:sz w:val="30"/>
        </w:rPr>
        <w:t>Introduction to Generative AI</w:t>
      </w:r>
    </w:p>
    <w:p>
      <w:pPr>
        <w:pStyle w:val="ListBullet"/>
        <w:spacing w:after="80"/>
        <w:ind w:left="0"/>
      </w:pPr>
      <w:r>
        <w:rPr>
          <w:sz w:val="21"/>
        </w:rPr>
        <w:t>Defining Generative AI and its transformative potential.</w:t>
      </w:r>
    </w:p>
    <w:p>
      <w:pPr>
        <w:pStyle w:val="ListBullet"/>
        <w:spacing w:after="80"/>
        <w:ind w:left="0"/>
      </w:pPr>
      <w:r>
        <w:rPr>
          <w:sz w:val="21"/>
        </w:rPr>
        <w:t>Overview of core capabilities: content creation, data synthesis, problem-solving.</w:t>
      </w:r>
    </w:p>
    <w:p>
      <w:pPr>
        <w:pStyle w:val="ListBullet"/>
        <w:spacing w:after="80"/>
        <w:ind w:left="0"/>
      </w:pPr>
      <w:r>
        <w:rPr>
          <w:sz w:val="21"/>
        </w:rPr>
        <w:t>Impact across various industries and business functions.</w:t>
      </w:r>
    </w:p>
    <w:p>
      <w:pPr>
        <w:pStyle w:val="Heading1"/>
        <w:spacing w:before="240" w:after="120"/>
      </w:pPr>
      <w:r>
        <w:rPr>
          <w:b/>
          <w:sz w:val="30"/>
        </w:rPr>
        <w:t>Key Trends in Generative AI</w:t>
      </w:r>
    </w:p>
    <w:p>
      <w:pPr>
        <w:pStyle w:val="ListBullet"/>
        <w:spacing w:after="80"/>
        <w:ind w:left="0"/>
      </w:pPr>
      <w:r>
        <w:rPr>
          <w:sz w:val="21"/>
        </w:rPr>
        <w:t>Advancements in Large Language Models (LLMs) and their applications.</w:t>
      </w:r>
    </w:p>
    <w:p>
      <w:pPr>
        <w:pStyle w:val="ListBullet"/>
        <w:spacing w:after="80"/>
        <w:ind w:left="0"/>
      </w:pPr>
      <w:r>
        <w:rPr>
          <w:sz w:val="21"/>
        </w:rPr>
        <w:t>The rise of multimodal AI for diverse data types.</w:t>
      </w:r>
    </w:p>
    <w:p>
      <w:pPr>
        <w:pStyle w:val="ListBullet"/>
        <w:spacing w:after="80"/>
        <w:ind w:left="0"/>
      </w:pPr>
      <w:r>
        <w:rPr>
          <w:sz w:val="21"/>
        </w:rPr>
        <w:t>Focus on ethical AI, responsible deployment, and governance.</w:t>
      </w:r>
    </w:p>
    <w:p>
      <w:pPr>
        <w:pStyle w:val="ListBullet"/>
        <w:spacing w:after="80"/>
        <w:ind w:left="0"/>
      </w:pPr>
      <w:r>
        <w:rPr>
          <w:sz w:val="21"/>
        </w:rPr>
        <w:t>Integration of AI in customer support and service automation.</w:t>
      </w:r>
    </w:p>
    <w:p>
      <w:pPr>
        <w:pStyle w:val="ListBullet"/>
        <w:spacing w:after="80"/>
        <w:ind w:left="0"/>
      </w:pPr>
      <w:r>
        <w:rPr>
          <w:sz w:val="21"/>
        </w:rPr>
        <w:t>Hyper-personalization and adaptive user experiences.</w:t>
      </w:r>
    </w:p>
    <w:p>
      <w:pPr>
        <w:pStyle w:val="Heading1"/>
        <w:spacing w:before="240" w:after="120"/>
      </w:pPr>
      <w:r>
        <w:rPr>
          <w:b/>
          <w:sz w:val="30"/>
        </w:rPr>
        <w:t>Enterprise AI-Assisted Customer Support Policy</w:t>
      </w:r>
    </w:p>
    <w:p>
      <w:pPr>
        <w:pStyle w:val="ListBullet"/>
        <w:spacing w:after="80"/>
        <w:ind w:left="0"/>
      </w:pPr>
      <w:r>
        <w:rPr>
          <w:sz w:val="21"/>
        </w:rPr>
        <w:t>Purpose of AI-assisted tools in customer service.</w:t>
      </w:r>
    </w:p>
    <w:p>
      <w:pPr>
        <w:pStyle w:val="ListBullet"/>
        <w:spacing w:after="80"/>
        <w:ind w:left="0"/>
      </w:pPr>
      <w:r>
        <w:rPr>
          <w:sz w:val="21"/>
        </w:rPr>
        <w:t>Defined critical incident response targets.</w:t>
      </w:r>
    </w:p>
    <w:p>
      <w:pPr>
        <w:pStyle w:val="ListBullet"/>
        <w:spacing w:after="80"/>
        <w:ind w:left="0"/>
      </w:pPr>
      <w:r>
        <w:rPr>
          <w:sz w:val="21"/>
        </w:rPr>
        <w:t>Guidelines for AI-generated support responses.</w:t>
      </w:r>
    </w:p>
    <w:p>
      <w:pPr>
        <w:pStyle w:val="Heading1"/>
        <w:spacing w:before="240" w:after="120"/>
      </w:pPr>
      <w:r>
        <w:rPr>
          <w:b/>
          <w:sz w:val="30"/>
        </w:rPr>
        <w:t>Strategic Implementation and Future Outlook</w:t>
      </w:r>
    </w:p>
    <w:p>
      <w:pPr>
        <w:pStyle w:val="ListBullet"/>
        <w:spacing w:after="80"/>
        <w:ind w:left="0"/>
      </w:pPr>
      <w:r>
        <w:rPr>
          <w:sz w:val="21"/>
        </w:rPr>
        <w:t>Roadmap for integrating Generative AI solutions.</w:t>
      </w:r>
    </w:p>
    <w:p>
      <w:pPr>
        <w:pStyle w:val="ListBullet"/>
        <w:spacing w:after="80"/>
        <w:ind w:left="0"/>
      </w:pPr>
      <w:r>
        <w:rPr>
          <w:sz w:val="21"/>
        </w:rPr>
        <w:t>Potential for efficiency gains and innovation.</w:t>
      </w:r>
    </w:p>
    <w:p>
      <w:pPr>
        <w:pStyle w:val="ListBullet"/>
        <w:spacing w:after="80"/>
        <w:ind w:left="0"/>
      </w:pPr>
      <w:r>
        <w:rPr>
          <w:sz w:val="21"/>
        </w:rPr>
        <w:t>Addressing challenges and ensuring successful adoption.</w:t>
      </w:r>
    </w:p>
    <w:p>
      <w:pPr>
        <w:pStyle w:val="Heading1"/>
      </w:pPr>
      <w:r>
        <w:rPr>
          <w:b/>
          <w:sz w:val="30"/>
        </w:rPr>
        <w:t>Sources &amp; Traceability</w:t>
      </w:r>
    </w:p>
    <w:p>
      <w:pPr>
        <w:pStyle w:val="ListBullet"/>
        <w:spacing w:after="80"/>
        <w:ind w:left="0"/>
      </w:pPr>
      <w:r>
        <w:rPr>
          <w:sz w:val="21"/>
        </w:rPr>
        <w:t>3f7717aec04c41b9b02a960dac77407a.pdf</w:t>
      </w:r>
    </w:p>
    <w:p>
      <w:pPr>
        <w:pStyle w:val="ListBullet"/>
        <w:spacing w:after="80"/>
        <w:ind w:left="0"/>
      </w:pPr>
      <w:r>
        <w:rPr>
          <w:sz w:val="21"/>
        </w:rPr>
        <w:t>3c244b5dcd444191907259be377fa702.pdf</w:t>
      </w:r>
    </w:p>
    <w:p>
      <w:pPr>
        <w:pStyle w:val="ListBullet"/>
        <w:spacing w:after="80"/>
        <w:ind w:left="0"/>
      </w:pPr>
      <w:r>
        <w:rPr>
          <w:sz w:val="21"/>
        </w:rPr>
        <w:t>55e629e3330b4c4fb40b2cd4e22dfc32.pdf</w:t>
      </w:r>
    </w:p>
    <w:p>
      <w:pPr>
        <w:pStyle w:val="ListBullet"/>
        <w:spacing w:after="80"/>
        <w:ind w:left="0"/>
      </w:pPr>
      <w:r>
        <w:rPr>
          <w:sz w:val="21"/>
        </w:rPr>
        <w:t>50ed733d5ea54b1eb5b5e64cf60dc5df.pdf</w:t>
      </w:r>
    </w:p>
    <w:p>
      <w:pPr>
        <w:pStyle w:val="ListBullet"/>
        <w:spacing w:after="80"/>
        <w:ind w:left="0"/>
      </w:pPr>
      <w:r>
        <w:rPr>
          <w:sz w:val="21"/>
        </w:rPr>
        <w:t>9ee17db8b4204fdeb853c18c63603189.pdf</w:t>
      </w:r>
    </w:p>
    <w:p>
      <w:pPr>
        <w:pStyle w:val="ListBullet"/>
        <w:spacing w:after="80"/>
        <w:ind w:left="0"/>
      </w:pPr>
      <w:r>
        <w:rPr>
          <w:sz w:val="21"/>
        </w:rPr>
        <w:t>6322280aea8145dabd8436f565a668aa.pdf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