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SOP-CAP-002 Operating the capper (CAPPER-2)</w:t>
      </w:r>
    </w:p>
    <w:p>
      <w:r>
        <w:t xml:space="preserve">Version 3, approved by the shift supervisor.</w:t>
      </w:r>
    </w:p>
    <w:p>
      <w:r>
        <w:t xml:space="preserve">1. Before the shift, check that the cap chute is clear.</w:t>
      </w:r>
    </w:p>
    <w:p>
      <w:r>
        <w:t xml:space="preserve">2. Preventive maintenance on CAPPER-2 is only allowed between 01:00 and 03:00 local time.</w:t>
      </w:r>
    </w:p>
    <w:p>
      <w:r>
        <w:t xml:space="preserve">3. After 4 consecutive faults, CAPPER-2 must be stopped and maintenance called. Do not clear the fault from the panel more than 3 times.</w:t>
      </w:r>
    </w:p>
    <w:p>
      <w:r>
        <w:t xml:space="preserve">4. The torque head must be inspected every 800 hours.</w:t>
      </w:r>
    </w:p>
    <w:p>
      <w:r>
        <w:t xml:space="preserve">Labeller 3 is the old name of LABELER-3 and is still used on the floor.</w:t>
      </w:r>
    </w:p>
  </w:body>
</w:document>
</file>