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Customer Due Diligence (CDD) Policy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 Due Diligence (CDD) Policy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Policy Number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POL-3311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01 April 2025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Policy Owner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Chief Compliance Officer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Compliance &amp; Risk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 By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Board Risk &amp; Compliance Committee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Internal – Restricted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1. Purpose</w:t>
      </w:r>
    </w:p>
    <w:p>
      <w:r>
        <w:rPr>
          <w:sz w:val="22"/>
          <w:szCs w:val="22"/>
        </w:rPr>
        <w:t xml:space="preserve">This policy defines the Customer Due Diligence (CDD) framework of the Bank. CDD is the process of assessing the nature, purpose, and risk level of a customer relationship to ensure that the Bank's services are not misused for money laundering, terrorist financing, or other financial crimes.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 Scope</w:t>
      </w:r>
    </w:p>
    <w:p>
      <w:r>
        <w:rPr>
          <w:sz w:val="22"/>
          <w:szCs w:val="22"/>
        </w:rPr>
        <w:t xml:space="preserve">CDD applies at the time of onboarding, when there is a material change in customer circumstances, and on a periodic refresh cycle based on customer risk category. It applies to all customers and all product types.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3. CDD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Identity Verification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 that the customer is who they claim to be (covered by CIP Policy).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Beneficial Ownership Identification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Identify and verify natural persons who ultimately own or control the customer.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Purpose and Nature of Relationship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Understand why the customer wants to use the Bank's services and what products are expected to be used.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Source of Funds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Understand how the customer's funds are generated.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Expected Transaction Profile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Establish a baseline of expected transaction volumes, frequencies, and geographies.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Risk Classification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Assign a risk rating based on findings across all CDD components.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4. Risk Classification Framework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4.1 Risk Factors – Individual Customers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Occupation: Government employee (lower risk), cash-business owner (higher risk)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Income source: Salary (lower risk), foreign remittances without clear basis (higher risk)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Geographic exposure: High-risk jurisdictions, FATF grey-listed/black-listed countries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PEP status: Domestic or foreign PEP designation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Negative news: Adverse media at onboarding or via ongoing screening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Transaction patterns: Unusually large cash transactions, structuring behavior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4.2 Risk Factors – Non-Individual Customers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Type of entity: Listed company (lower risk), private offshore structure (higher risk)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Industry/sector: Regulated sectors (lower risk), cash-intensive sectors, real estate, dealers in precious metals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Beneficial ownership complexity: Simple structure (lower risk), layered cross-jurisdictional structure (higher risk)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Counterparties: Payments to high-risk jurisdictions; concentration with a small number of parties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4.3 Risk Rating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Risk Score Range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Risk Category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CDD Level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Required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1–30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Standard CDD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Branch / RM Level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31–60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Standard CDD + Monitoring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Cluster / Area Manager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61–80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Enhanced Due Diligence (EDD)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Business Head + Compliance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81–100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Very High / Reject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EDD or Decline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CCO + MD/CEO for exceptions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5. Standard CDD Procedure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Complete Customer Identification Program (CIP).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Collect and record purpose of account opening and nature of expected business.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Obtain source of funds declaration.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Determine beneficial ownership for entities.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Screen against sanctions lists (OFAC, UN, HM Treasury, domestic).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Check against PEP databases.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Assign risk score using the Bank's CDD Scoring Model.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Document findings in the customer risk profile in the core banking / CRM system.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6. Circumstances Requiring Revised CDD</w:t>
      </w:r>
    </w:p>
    <w:p>
      <w:r>
        <w:rPr>
          <w:sz w:val="22"/>
          <w:szCs w:val="22"/>
        </w:rPr>
        <w:t xml:space="preserve">CDD must be revisited in the following trigger events, regardless of the periodic refresh cycle: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 requests a product or service materially outside expected transaction profile.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Significant change in transaction volumes or counterparties.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Adverse media or sanctions alert generated by ongoing screening.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 is identified as a PEP following onboarding.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Receipt of a court order or law enforcement request relating to the customer.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Material change in ownership or control of an entity customer.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7. Simplified Due Diligence</w:t>
      </w:r>
    </w:p>
    <w:p>
      <w:r>
        <w:rPr>
          <w:sz w:val="22"/>
          <w:szCs w:val="22"/>
        </w:rPr>
        <w:t xml:space="preserve">Simplified Due Diligence (SDD) may be applied only with explicit prior approval from the Chief Compliance Officer for customer types that present demonstrably low risk, including: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Accounts opened under government financial inclusion schemes (e.g., Jan Dhan Yojana) within prescribed limits.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Basic Savings Bank Deposit Accounts (BSBDA) within RBI-prescribed transaction ceilings.</w:t>
      </w:r>
    </w:p>
    <w:p>
      <w:r>
        <w:rPr>
          <w:sz w:val="22"/>
          <w:szCs w:val="22"/>
        </w:rPr>
        <w:t xml:space="preserve">SDD does not mean exemption from KYC. Minimum identification and verification must always be performed.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8. Documentation</w:t>
      </w:r>
    </w:p>
    <w:p>
      <w:r>
        <w:rPr>
          <w:sz w:val="22"/>
          <w:szCs w:val="22"/>
        </w:rPr>
        <w:t xml:space="preserve">All CDD findings must be documented in the Bank's CRM system or customer risk profile record. Documentary evidence underlying the risk assessment must be retained in the DMS.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9.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Relationship Manager / Branch Staff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Collect CDD information; complete CDD forms; initial risk scoring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CDD / KYC Team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and approve risk scores; conduct sanctions and PEP screening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Business Unit Head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 medium and high-risk customer relationships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Chief Compliance Officer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CDD policy; approve SDD exemptions; escalate to Board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Internal Audit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 review of CDD completeness and accuracy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2026-05-09T07:00:36.138Z</dcterms:created>
  <dcterms:modified xsi:type="dcterms:W3CDTF">2026-05-09T07:00:36.138Z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