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Account Closure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Account Closure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POL-4458</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Head – Retail Banking Operations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Operations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governs the procedures for the closure of customer accounts initiated by either the customer or the Bank. It ensures that account closures are processed efficiently, regulatory obligations are met, and customer interests are protected.</w:t>
      </w:r>
    </w:p>
    <w:p>
      <w:r>
        <w:t xml:space="preserve"/>
      </w:r>
    </w:p>
    <w:p>
      <w:pPr>
        <w:pStyle w:val="Heading2"/>
      </w:pPr>
      <w:r>
        <w:rPr>
          <w:b/>
          <w:bCs/>
          <w:sz w:val="24"/>
          <w:szCs w:val="24"/>
        </w:rPr>
        <w:t xml:space="preserve">2. Types of Account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Type</w:t>
            </w:r>
          </w:p>
        </w:tc>
        <w:tc>
          <w:tcPr>
            <w:tcW w:type="dxa" w:w="2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Initiated By</w:t>
            </w:r>
          </w:p>
        </w:tc>
        <w:tc>
          <w:tcPr>
            <w:tcW w:type="dxa" w:w="4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Description</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Voluntary Closure</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Customer</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Customer requests closure of their own account.</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Bank-Initiated Closure</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Bank</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Bank closes account due to non-compliance, risk, dormancy, or regulatory requirement.</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Regulatory / Court-Ordered Closure</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Regulator / Court</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Account closed pursuant to court order, regulatory direction, or law enforcement request.</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Death of Account Holder</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N/A</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Account settled and closed upon notification of account holder's death.</w:t>
            </w:r>
          </w:p>
        </w:tc>
      </w:tr>
    </w:tbl>
    <w:p>
      <w:r>
        <w:t xml:space="preserve"/>
      </w:r>
    </w:p>
    <w:p>
      <w:pPr>
        <w:pStyle w:val="Heading2"/>
      </w:pPr>
      <w:r>
        <w:rPr>
          <w:b/>
          <w:bCs/>
          <w:sz w:val="24"/>
          <w:szCs w:val="24"/>
        </w:rPr>
        <w:t xml:space="preserve">3. Voluntary Closure by Customer</w:t>
      </w:r>
    </w:p>
    <w:p>
      <w:pPr>
        <w:pStyle w:val="Heading3"/>
      </w:pPr>
      <w:r>
        <w:rPr>
          <w:b/>
          <w:bCs/>
          <w:sz w:val="22"/>
          <w:szCs w:val="22"/>
        </w:rPr>
        <w:t xml:space="preserve">3.1 Request Submission</w:t>
      </w:r>
    </w:p>
    <w:p>
      <w:r>
        <w:rPr>
          <w:sz w:val="22"/>
          <w:szCs w:val="22"/>
        </w:rPr>
        <w:t xml:space="preserve">A customer may request account closure by: visiting the branch; submitting a request through the Bank's internet banking portal or mobile application; or sending a written request by post. The customer must submit the Account Closure Form duly signed, debit card(s) for destruction, and cheque book (unused leaves) for cancellation.</w:t>
      </w:r>
    </w:p>
    <w:p>
      <w:r>
        <w:t xml:space="preserve"/>
      </w:r>
    </w:p>
    <w:p>
      <w:pPr>
        <w:pStyle w:val="Heading3"/>
      </w:pPr>
      <w:r>
        <w:rPr>
          <w:b/>
          <w:bCs/>
          <w:sz w:val="22"/>
          <w:szCs w:val="22"/>
        </w:rPr>
        <w:t xml:space="preserve">3.2 Processing Steps</w:t>
      </w:r>
    </w:p>
    <w:p>
      <w:pPr>
        <w:pStyle w:val="ListParagraph"/>
        <w:numPr>
          <w:ilvl w:val="0"/>
          <w:numId w:val="2"/>
        </w:numPr>
      </w:pPr>
      <w:r>
        <w:rPr>
          <w:sz w:val="22"/>
          <w:szCs w:val="22"/>
        </w:rPr>
        <w:t xml:space="preserve">Verify identity of the requesting customer.</w:t>
      </w:r>
    </w:p>
    <w:p>
      <w:pPr>
        <w:pStyle w:val="ListParagraph"/>
        <w:numPr>
          <w:ilvl w:val="0"/>
          <w:numId w:val="2"/>
        </w:numPr>
      </w:pPr>
      <w:r>
        <w:rPr>
          <w:sz w:val="22"/>
          <w:szCs w:val="22"/>
        </w:rPr>
        <w:t xml:space="preserve">Check for outstanding dues, active standing instructions, linked loans, or guarantees.</w:t>
      </w:r>
    </w:p>
    <w:p>
      <w:pPr>
        <w:pStyle w:val="ListParagraph"/>
        <w:numPr>
          <w:ilvl w:val="0"/>
          <w:numId w:val="2"/>
        </w:numPr>
      </w:pPr>
      <w:r>
        <w:rPr>
          <w:sz w:val="22"/>
          <w:szCs w:val="22"/>
        </w:rPr>
        <w:t xml:space="preserve">Settle or transfer any residual balance by the method specified by the customer (NEFT/RTGS or demand draft).</w:t>
      </w:r>
    </w:p>
    <w:p>
      <w:pPr>
        <w:pStyle w:val="ListParagraph"/>
        <w:numPr>
          <w:ilvl w:val="0"/>
          <w:numId w:val="2"/>
        </w:numPr>
      </w:pPr>
      <w:r>
        <w:rPr>
          <w:sz w:val="22"/>
          <w:szCs w:val="22"/>
        </w:rPr>
        <w:t xml:space="preserve">Cancel all linked services: internet banking, mobile banking, debit card, SMS alerts, standing instructions.</w:t>
      </w:r>
    </w:p>
    <w:p>
      <w:pPr>
        <w:pStyle w:val="ListParagraph"/>
        <w:numPr>
          <w:ilvl w:val="0"/>
          <w:numId w:val="2"/>
        </w:numPr>
      </w:pPr>
      <w:r>
        <w:rPr>
          <w:sz w:val="22"/>
          <w:szCs w:val="22"/>
        </w:rPr>
        <w:t xml:space="preserve">Mark account as closed in the core banking system.</w:t>
      </w:r>
    </w:p>
    <w:p>
      <w:pPr>
        <w:pStyle w:val="ListParagraph"/>
        <w:numPr>
          <w:ilvl w:val="0"/>
          <w:numId w:val="2"/>
        </w:numPr>
      </w:pPr>
      <w:r>
        <w:rPr>
          <w:sz w:val="22"/>
          <w:szCs w:val="22"/>
        </w:rPr>
        <w:t xml:space="preserve">Issue account closure confirmation to the customer within 3 working days.</w:t>
      </w:r>
    </w:p>
    <w:p>
      <w:r>
        <w:t xml:space="preserve"/>
      </w:r>
    </w:p>
    <w:p>
      <w:pPr>
        <w:pStyle w:val="Heading3"/>
      </w:pPr>
      <w:r>
        <w:rPr>
          <w:b/>
          <w:bCs/>
          <w:sz w:val="22"/>
          <w:szCs w:val="22"/>
        </w:rPr>
        <w:t xml:space="preserve">3.3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Scenario</w:t>
            </w:r>
          </w:p>
        </w:tc>
        <w:tc>
          <w:tcPr>
            <w:tcW w:type="dxa" w:w="4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Closure Charge</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Closure within 14 days of opening</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Nil</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Closure between 15 days and 1 year</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As per Schedule of Charges (disclosed at onboarding)</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Closure after 1 year</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Nil</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Senior citizen accounts</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Nil in all cases</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Basic Savings Bank Deposit Accounts</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Nil in all cases</w:t>
            </w:r>
          </w:p>
        </w:tc>
      </w:tr>
    </w:tbl>
    <w:p>
      <w:r>
        <w:t xml:space="preserve"/>
      </w:r>
    </w:p>
    <w:p>
      <w:pPr>
        <w:pStyle w:val="Heading2"/>
      </w:pPr>
      <w:r>
        <w:rPr>
          <w:b/>
          <w:bCs/>
          <w:sz w:val="24"/>
          <w:szCs w:val="24"/>
        </w:rPr>
        <w:t xml:space="preserve">4. Bank-Initiated Account Closure</w:t>
      </w:r>
    </w:p>
    <w:p>
      <w:r>
        <w:rPr>
          <w:sz w:val="22"/>
          <w:szCs w:val="22"/>
        </w:rPr>
        <w:t xml:space="preserve">The Bank may initiate closure of an account under the following conditions:</w:t>
      </w:r>
    </w:p>
    <w:p>
      <w:pPr>
        <w:pStyle w:val="ListParagraph"/>
        <w:numPr>
          <w:ilvl w:val="0"/>
          <w:numId w:val="3"/>
        </w:numPr>
      </w:pPr>
      <w:r>
        <w:rPr>
          <w:sz w:val="22"/>
          <w:szCs w:val="22"/>
        </w:rPr>
        <w:t xml:space="preserve">Customer fails to comply with KYC/CDD requirements after multiple notices.</w:t>
      </w:r>
    </w:p>
    <w:p>
      <w:pPr>
        <w:pStyle w:val="ListParagraph"/>
        <w:numPr>
          <w:ilvl w:val="0"/>
          <w:numId w:val="3"/>
        </w:numPr>
      </w:pPr>
      <w:r>
        <w:rPr>
          <w:sz w:val="22"/>
          <w:szCs w:val="22"/>
        </w:rPr>
        <w:t xml:space="preserve">Account is identified as being used for fraudulent, money laundering, or terrorist financing activity.</w:t>
      </w:r>
    </w:p>
    <w:p>
      <w:pPr>
        <w:pStyle w:val="ListParagraph"/>
        <w:numPr>
          <w:ilvl w:val="0"/>
          <w:numId w:val="3"/>
        </w:numPr>
      </w:pPr>
      <w:r>
        <w:rPr>
          <w:sz w:val="22"/>
          <w:szCs w:val="22"/>
        </w:rPr>
        <w:t xml:space="preserve">Customer is placed on a sanctions list.</w:t>
      </w:r>
    </w:p>
    <w:p>
      <w:pPr>
        <w:pStyle w:val="ListParagraph"/>
        <w:numPr>
          <w:ilvl w:val="0"/>
          <w:numId w:val="3"/>
        </w:numPr>
      </w:pPr>
      <w:r>
        <w:rPr>
          <w:sz w:val="22"/>
          <w:szCs w:val="22"/>
        </w:rPr>
        <w:t xml:space="preserve">Account has been dormant for 10 or more years with no balance.</w:t>
      </w:r>
    </w:p>
    <w:p>
      <w:pPr>
        <w:pStyle w:val="ListParagraph"/>
        <w:numPr>
          <w:ilvl w:val="0"/>
          <w:numId w:val="3"/>
        </w:numPr>
      </w:pPr>
      <w:r>
        <w:rPr>
          <w:sz w:val="22"/>
          <w:szCs w:val="22"/>
        </w:rPr>
        <w:t xml:space="preserve">Account type is being discontinued as a product.</w:t>
      </w:r>
    </w:p>
    <w:p>
      <w:r>
        <w:t xml:space="preserve"/>
      </w:r>
    </w:p>
    <w:p>
      <w:r>
        <w:rPr>
          <w:sz w:val="22"/>
          <w:szCs w:val="22"/>
        </w:rPr>
        <w:t xml:space="preserve">Prior to Bank-initiated closure, the Bank must:</w:t>
      </w:r>
    </w:p>
    <w:p>
      <w:pPr>
        <w:pStyle w:val="ListParagraph"/>
        <w:numPr>
          <w:ilvl w:val="0"/>
          <w:numId w:val="2"/>
        </w:numPr>
      </w:pPr>
      <w:r>
        <w:rPr>
          <w:sz w:val="22"/>
          <w:szCs w:val="22"/>
        </w:rPr>
        <w:t xml:space="preserve">Issue a 30-day advance notice to the customer (except in cases involving suspected financial crime or legal/regulatory orders, where immediate suspension and closure may be warranted).</w:t>
      </w:r>
    </w:p>
    <w:p>
      <w:pPr>
        <w:pStyle w:val="ListParagraph"/>
        <w:numPr>
          <w:ilvl w:val="0"/>
          <w:numId w:val="2"/>
        </w:numPr>
      </w:pPr>
      <w:r>
        <w:rPr>
          <w:sz w:val="22"/>
          <w:szCs w:val="22"/>
        </w:rPr>
        <w:t xml:space="preserve">Provide reasons for closure to the extent permissible by law.</w:t>
      </w:r>
    </w:p>
    <w:p>
      <w:pPr>
        <w:pStyle w:val="ListParagraph"/>
        <w:numPr>
          <w:ilvl w:val="0"/>
          <w:numId w:val="2"/>
        </w:numPr>
      </w:pPr>
      <w:r>
        <w:rPr>
          <w:sz w:val="22"/>
          <w:szCs w:val="22"/>
        </w:rPr>
        <w:t xml:space="preserve">Return residual balances to the customer or transfer to Depositor Education and Awareness (DEA) Fund as applicable.</w:t>
      </w:r>
    </w:p>
    <w:p>
      <w:r>
        <w:t xml:space="preserve"/>
      </w:r>
    </w:p>
    <w:p>
      <w:pPr>
        <w:pStyle w:val="Heading2"/>
      </w:pPr>
      <w:r>
        <w:rPr>
          <w:b/>
          <w:bCs/>
          <w:sz w:val="24"/>
          <w:szCs w:val="24"/>
        </w:rPr>
        <w:t xml:space="preserve">5. Closure Due to Death of Account Holder</w:t>
      </w:r>
    </w:p>
    <w:p>
      <w:r>
        <w:rPr>
          <w:sz w:val="22"/>
          <w:szCs w:val="22"/>
        </w:rPr>
        <w:t xml:space="preserve">Upon receiving intimation of the death of an account holder, the Bank shall:</w:t>
      </w:r>
    </w:p>
    <w:p>
      <w:pPr>
        <w:pStyle w:val="ListParagraph"/>
        <w:numPr>
          <w:ilvl w:val="0"/>
          <w:numId w:val="3"/>
        </w:numPr>
      </w:pPr>
      <w:r>
        <w:rPr>
          <w:sz w:val="22"/>
          <w:szCs w:val="22"/>
        </w:rPr>
        <w:t xml:space="preserve">Place a freeze on all debit transactions pending settlement.</w:t>
      </w:r>
    </w:p>
    <w:p>
      <w:pPr>
        <w:pStyle w:val="ListParagraph"/>
        <w:numPr>
          <w:ilvl w:val="0"/>
          <w:numId w:val="3"/>
        </w:numPr>
      </w:pPr>
      <w:r>
        <w:rPr>
          <w:sz w:val="22"/>
          <w:szCs w:val="22"/>
        </w:rPr>
        <w:t xml:space="preserve">Process the claim of the nominee, joint holder, or legal heir as per the Bank's Nominee &amp; Survivorship Policy.</w:t>
      </w:r>
    </w:p>
    <w:p>
      <w:pPr>
        <w:pStyle w:val="ListParagraph"/>
        <w:numPr>
          <w:ilvl w:val="0"/>
          <w:numId w:val="3"/>
        </w:numPr>
      </w:pPr>
      <w:r>
        <w:rPr>
          <w:sz w:val="22"/>
          <w:szCs w:val="22"/>
        </w:rPr>
        <w:t xml:space="preserve">Settle outstanding balance and close the account upon completion of the claim process.</w:t>
      </w:r>
    </w:p>
    <w:p>
      <w:r>
        <w:t xml:space="preserve"/>
      </w:r>
    </w:p>
    <w:p>
      <w:pPr>
        <w:pStyle w:val="Heading2"/>
      </w:pPr>
      <w:r>
        <w:rPr>
          <w:b/>
          <w:bCs/>
          <w:sz w:val="24"/>
          <w:szCs w:val="24"/>
        </w:rPr>
        <w:t xml:space="preserve">6. Lien and Encumbered Accounts</w:t>
      </w:r>
    </w:p>
    <w:p>
      <w:r>
        <w:rPr>
          <w:sz w:val="22"/>
          <w:szCs w:val="22"/>
        </w:rPr>
        <w:t xml:space="preserve">Accounts with an existing lien (e.g., as collateral for a loan) cannot be closed until the lien is released by the relevant department. Operations must obtain a No Objection Certificate (NOC) from the Loans/Credit department before processing closure.</w:t>
      </w:r>
    </w:p>
    <w:p>
      <w:r>
        <w:t xml:space="preserve"/>
      </w:r>
    </w:p>
    <w:p>
      <w:pPr>
        <w:pStyle w:val="Heading2"/>
      </w:pPr>
      <w:r>
        <w:rPr>
          <w:b/>
          <w:bCs/>
          <w:sz w:val="24"/>
          <w:szCs w:val="24"/>
        </w:rPr>
        <w:t xml:space="preserve">7. Record Retention Post-Closure</w:t>
      </w:r>
    </w:p>
    <w:p>
      <w:r>
        <w:rPr>
          <w:sz w:val="22"/>
          <w:szCs w:val="22"/>
        </w:rPr>
        <w:t xml:space="preserve">Account records including KYC documents, transaction history, and closure documentation must be retained for 5 years post-closure in accordance with PMLA and RBI requirements.</w:t>
      </w:r>
    </w:p>
    <w:p>
      <w:r>
        <w:t xml:space="preserve"/>
      </w:r>
    </w:p>
    <w:p>
      <w:pPr>
        <w:pStyle w:val="Heading2"/>
      </w:pPr>
      <w:r>
        <w:rPr>
          <w:b/>
          <w:bCs/>
          <w:sz w:val="24"/>
          <w:szCs w:val="24"/>
        </w:rPr>
        <w:t xml:space="preserve">8. Dispute Resolution</w:t>
      </w:r>
    </w:p>
    <w:p>
      <w:r>
        <w:rPr>
          <w:sz w:val="22"/>
          <w:szCs w:val="22"/>
        </w:rPr>
        <w:t xml:space="preserve">Any customer dispute arising from account closure must be escalated to the Bank's Grievance Redressal mechanism. The customer may also approach the Banking Ombudsman under RBI's Integrated Ombudsman Scheme, 2021 if the dispute is not resolved within 30 days.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2026-05-09T07:00:36.259Z</dcterms:created>
  <dcterms:modified xsi:type="dcterms:W3CDTF">2026-05-09T07:00:36.259Z</dcterms:modified>
</cp:coreProperties>
</file>

<file path=docProps/custom.xml><?xml version="1.0" encoding="utf-8"?>
<Properties xmlns="http://schemas.openxmlformats.org/officeDocument/2006/custom-properties" xmlns:vt="http://schemas.openxmlformats.org/officeDocument/2006/docPropsVTypes"/>
</file>