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Retail Credit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Retail Credit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POL-1709</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3.1</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Chief Credit Officer</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Retail Credit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establishes the framework for underwriting, approving, disbursing, and monitoring retail credit facilities. It defines eligibility criteria, credit parameters, approval authorities, and portfolio management standards for all retail lending products of the Bank.</w:t>
      </w:r>
    </w:p>
    <w:p>
      <w:r>
        <w:t xml:space="preserve"/>
      </w:r>
    </w:p>
    <w:p>
      <w:pPr>
        <w:pStyle w:val="Heading2"/>
      </w:pPr>
      <w:r>
        <w:rPr>
          <w:b/>
          <w:bCs/>
          <w:sz w:val="24"/>
          <w:szCs w:val="24"/>
        </w:rPr>
        <w:t xml:space="preserve">2. Scope</w:t>
      </w:r>
    </w:p>
    <w:p>
      <w:r>
        <w:rPr>
          <w:sz w:val="22"/>
          <w:szCs w:val="22"/>
        </w:rPr>
        <w:t xml:space="preserve">This policy covers all retail lending products including home loans, personal loans, vehicle loans, consumer durable loans, gold loans, education loans, and overdraft facilities extended to individual customers.</w:t>
      </w:r>
    </w:p>
    <w:p>
      <w:r>
        <w:t xml:space="preserve"/>
      </w:r>
    </w:p>
    <w:p>
      <w:pPr>
        <w:pStyle w:val="Heading2"/>
      </w:pPr>
      <w:r>
        <w:rPr>
          <w:b/>
          <w:bCs/>
          <w:sz w:val="24"/>
          <w:szCs w:val="24"/>
        </w:rPr>
        <w:t xml:space="preserve">3. Credit Philosophy</w:t>
      </w:r>
    </w:p>
    <w:p>
      <w:r>
        <w:rPr>
          <w:sz w:val="22"/>
          <w:szCs w:val="22"/>
        </w:rPr>
        <w:t xml:space="preserve">The Bank adopts a risk-based, customer-centric approach to retail credit. Lending decisions are based on the borrower's demonstrated repayment capacity, creditworthiness, and the purpose and security of the facility. The Bank does not engage in predatory lending and is committed to transparent, fair, and responsible credit practices.</w:t>
      </w:r>
    </w:p>
    <w:p>
      <w:r>
        <w:t xml:space="preserve"/>
      </w:r>
    </w:p>
    <w:p>
      <w:pPr>
        <w:pStyle w:val="Heading2"/>
      </w:pPr>
      <w:r>
        <w:rPr>
          <w:b/>
          <w:bCs/>
          <w:sz w:val="24"/>
          <w:szCs w:val="24"/>
        </w:rPr>
        <w:t xml:space="preserve">4. General Eligibility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Parameter</w:t>
            </w:r>
          </w:p>
        </w:tc>
        <w:tc>
          <w:tcPr>
            <w:tcW w:type="dxa" w:w="5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Minimum Requirement</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Age</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21 years at application; maximum 65 years at loan maturity (70 for home loans)</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Residency</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Resident Indian (NRI norms as per separate product guidelines)</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CIBIL Score</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700 (applicant and co-applicant)</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Employment / Income Stability</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Salaried: Minimum 1 year with current employer, total 2 years employment; Self-employed: Minimum 2 years in current business with ITR evidence</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Income</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Net Monthly Income (NMI) to be verified; Debt-to-Income (DTI) ratio not to exceed 50% post-approval of proposed facility</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Existing Obligations</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more than 50% of NMI committed to existing EMIs (FOIR limit)</w:t>
            </w:r>
          </w:p>
        </w:tc>
      </w:tr>
      <w:tr>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Negative Profile</w:t>
            </w:r>
          </w:p>
        </w:tc>
        <w:tc>
          <w:tcPr>
            <w:tcW w:type="dxa" w:w="5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suit-filed, wilful defaulter, or fraud tag on any bureau or internal record</w:t>
            </w:r>
          </w:p>
        </w:tc>
      </w:tr>
    </w:tbl>
    <w:p>
      <w:r>
        <w:t xml:space="preserve"/>
      </w:r>
    </w:p>
    <w:p>
      <w:pPr>
        <w:pStyle w:val="Heading2"/>
      </w:pPr>
      <w:r>
        <w:rPr>
          <w:b/>
          <w:bCs/>
          <w:sz w:val="24"/>
          <w:szCs w:val="24"/>
        </w:rPr>
        <w:t xml:space="preserve">5. Credit Bureau Assessment</w:t>
      </w:r>
    </w:p>
    <w:p>
      <w:r>
        <w:rPr>
          <w:sz w:val="22"/>
          <w:szCs w:val="22"/>
        </w:rPr>
        <w:t xml:space="preserve">Every retail credit application must be assessed using credit bureau reports from at least one RBI-authorised credit information company (TransUnion CIBIL, Equifax, Experian, or CRIF Highmark). Bureau checks are mandatory for both applicant and co-applicant. The Bank shall record the bureau score and report in the loan origination system.</w:t>
      </w:r>
    </w:p>
    <w:p>
      <w:r>
        <w:t xml:space="preserve"/>
      </w:r>
    </w:p>
    <w:p>
      <w:pPr>
        <w:pStyle w:val="Heading2"/>
      </w:pPr>
      <w:r>
        <w:rPr>
          <w:b/>
          <w:bCs/>
          <w:sz w:val="24"/>
          <w:szCs w:val="24"/>
        </w:rPr>
        <w:t xml:space="preserve">6. Income Assessment</w:t>
      </w:r>
    </w:p>
    <w:p>
      <w:pPr>
        <w:pStyle w:val="Heading3"/>
      </w:pPr>
      <w:r>
        <w:rPr>
          <w:b/>
          <w:bCs/>
          <w:sz w:val="22"/>
          <w:szCs w:val="22"/>
        </w:rPr>
        <w:t xml:space="preserve">6.1 Salaried Customers</w:t>
      </w:r>
    </w:p>
    <w:p>
      <w:pPr>
        <w:pStyle w:val="ListParagraph"/>
        <w:numPr>
          <w:ilvl w:val="0"/>
          <w:numId w:val="2"/>
        </w:numPr>
      </w:pPr>
      <w:r>
        <w:rPr>
          <w:sz w:val="22"/>
          <w:szCs w:val="22"/>
        </w:rPr>
        <w:t xml:space="preserve">Last 3 months' salary slips and 6 months' bank statements.</w:t>
      </w:r>
    </w:p>
    <w:p>
      <w:pPr>
        <w:pStyle w:val="ListParagraph"/>
        <w:numPr>
          <w:ilvl w:val="0"/>
          <w:numId w:val="2"/>
        </w:numPr>
      </w:pPr>
      <w:r>
        <w:rPr>
          <w:sz w:val="22"/>
          <w:szCs w:val="22"/>
        </w:rPr>
        <w:t xml:space="preserve">Form 16 or latest ITR.</w:t>
      </w:r>
    </w:p>
    <w:p>
      <w:pPr>
        <w:pStyle w:val="ListParagraph"/>
        <w:numPr>
          <w:ilvl w:val="0"/>
          <w:numId w:val="2"/>
        </w:numPr>
      </w:pPr>
      <w:r>
        <w:rPr>
          <w:sz w:val="22"/>
          <w:szCs w:val="22"/>
        </w:rPr>
        <w:t xml:space="preserve">Employment letter or offer letter for new joiners.</w:t>
      </w:r>
    </w:p>
    <w:p>
      <w:r>
        <w:t xml:space="preserve"/>
      </w:r>
    </w:p>
    <w:p>
      <w:pPr>
        <w:pStyle w:val="Heading3"/>
      </w:pPr>
      <w:r>
        <w:rPr>
          <w:b/>
          <w:bCs/>
          <w:sz w:val="22"/>
          <w:szCs w:val="22"/>
        </w:rPr>
        <w:t xml:space="preserve">6.2 Self-Employed / Business Owners</w:t>
      </w:r>
    </w:p>
    <w:p>
      <w:pPr>
        <w:pStyle w:val="ListParagraph"/>
        <w:numPr>
          <w:ilvl w:val="0"/>
          <w:numId w:val="2"/>
        </w:numPr>
      </w:pPr>
      <w:r>
        <w:rPr>
          <w:sz w:val="22"/>
          <w:szCs w:val="22"/>
        </w:rPr>
        <w:t xml:space="preserve">Last 2 years' audited financials or ITR with computation.</w:t>
      </w:r>
    </w:p>
    <w:p>
      <w:pPr>
        <w:pStyle w:val="ListParagraph"/>
        <w:numPr>
          <w:ilvl w:val="0"/>
          <w:numId w:val="2"/>
        </w:numPr>
      </w:pPr>
      <w:r>
        <w:rPr>
          <w:sz w:val="22"/>
          <w:szCs w:val="22"/>
        </w:rPr>
        <w:t xml:space="preserve">6 to 12 months' business bank account statements.</w:t>
      </w:r>
    </w:p>
    <w:p>
      <w:pPr>
        <w:pStyle w:val="ListParagraph"/>
        <w:numPr>
          <w:ilvl w:val="0"/>
          <w:numId w:val="2"/>
        </w:numPr>
      </w:pPr>
      <w:r>
        <w:rPr>
          <w:sz w:val="22"/>
          <w:szCs w:val="22"/>
        </w:rPr>
        <w:t xml:space="preserve">GST returns for the last 2 years (where applicable).</w:t>
      </w:r>
    </w:p>
    <w:p>
      <w:pPr>
        <w:pStyle w:val="ListParagraph"/>
        <w:numPr>
          <w:ilvl w:val="0"/>
          <w:numId w:val="2"/>
        </w:numPr>
      </w:pPr>
      <w:r>
        <w:rPr>
          <w:sz w:val="22"/>
          <w:szCs w:val="22"/>
        </w:rPr>
        <w:t xml:space="preserve">Business registration proof and ownership documents.</w:t>
      </w:r>
    </w:p>
    <w:p>
      <w:r>
        <w:t xml:space="preserve"/>
      </w:r>
    </w:p>
    <w:p>
      <w:pPr>
        <w:pStyle w:val="Heading2"/>
      </w:pPr>
      <w:r>
        <w:rPr>
          <w:b/>
          <w:bCs/>
          <w:sz w:val="24"/>
          <w:szCs w:val="24"/>
        </w:rPr>
        <w:t xml:space="preserve">7. Loan-to-Value (LTV) and FOIR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Product</w:t>
            </w:r>
          </w:p>
        </w:tc>
        <w:tc>
          <w:tcPr>
            <w:tcW w:type="dxa" w:w="32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Maximum LTV</w:t>
            </w:r>
          </w:p>
        </w:tc>
        <w:tc>
          <w:tcPr>
            <w:tcW w:type="dxa" w:w="36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Maximum FOIR</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Home Loan</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75%–90% (per RBI guidelines based on loan amount)</w:t>
            </w:r>
          </w:p>
        </w:tc>
        <w:tc>
          <w:tcPr>
            <w:tcW w:type="dxa" w:w="36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50% of gross income</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Vehicle Loan</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85% of on-road price</w:t>
            </w:r>
          </w:p>
        </w:tc>
        <w:tc>
          <w:tcPr>
            <w:tcW w:type="dxa" w:w="36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50% of NMI</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Personal Loan</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Not applicable (unsecured)</w:t>
            </w:r>
          </w:p>
        </w:tc>
        <w:tc>
          <w:tcPr>
            <w:tcW w:type="dxa" w:w="36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45% of NMI</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Consumer Durable Loan</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80% of invoice value</w:t>
            </w:r>
          </w:p>
        </w:tc>
        <w:tc>
          <w:tcPr>
            <w:tcW w:type="dxa" w:w="36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40% of NMI</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Gold Loan</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75% of gold value (per RBI)</w:t>
            </w:r>
          </w:p>
        </w:tc>
        <w:tc>
          <w:tcPr>
            <w:tcW w:type="dxa" w:w="36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Income check discretionary</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Education Loan</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Up to INR 4 lakh: no collateral; above INR 7.5 lakh: collateral required</w:t>
            </w:r>
          </w:p>
        </w:tc>
        <w:tc>
          <w:tcPr>
            <w:tcW w:type="dxa" w:w="36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Future income projection</w:t>
            </w:r>
          </w:p>
        </w:tc>
      </w:tr>
    </w:tbl>
    <w:p>
      <w:r>
        <w:t xml:space="preserve"/>
      </w:r>
    </w:p>
    <w:p>
      <w:pPr>
        <w:pStyle w:val="Heading2"/>
      </w:pPr>
      <w:r>
        <w:rPr>
          <w:b/>
          <w:bCs/>
          <w:sz w:val="24"/>
          <w:szCs w:val="24"/>
        </w:rPr>
        <w:t xml:space="preserve">8. Credit Approval Authorities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Loan Amount</w:t>
            </w:r>
          </w:p>
        </w:tc>
        <w:tc>
          <w:tcPr>
            <w:tcW w:type="dxa" w:w="5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Approval Authority</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Up to INR 10 lakh</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Manager – Branch Level</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10 lakh to INR 50 lakh</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Area Credit Manager</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50 lakh to INR 2 crore</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Regional Credit Head</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 crore to INR 10 crore</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Zonal Credit Head</w:t>
            </w:r>
          </w:p>
        </w:tc>
      </w:tr>
      <w:tr>
        <w:tc>
          <w:tcPr>
            <w:tcW w:type="dxa" w:w="4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Above INR 10 crore (Retail)</w:t>
            </w:r>
          </w:p>
        </w:tc>
        <w:tc>
          <w:tcPr>
            <w:tcW w:type="dxa" w:w="5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Committee – Retail</w:t>
            </w:r>
          </w:p>
        </w:tc>
      </w:tr>
    </w:tbl>
    <w:p>
      <w:r>
        <w:t xml:space="preserve"/>
      </w:r>
    </w:p>
    <w:p>
      <w:pPr>
        <w:pStyle w:val="Heading2"/>
      </w:pPr>
      <w:r>
        <w:rPr>
          <w:b/>
          <w:bCs/>
          <w:sz w:val="24"/>
          <w:szCs w:val="24"/>
        </w:rPr>
        <w:t xml:space="preserve">9. Disbursement Conditions</w:t>
      </w:r>
    </w:p>
    <w:p>
      <w:pPr>
        <w:pStyle w:val="ListParagraph"/>
        <w:numPr>
          <w:ilvl w:val="0"/>
          <w:numId w:val="2"/>
        </w:numPr>
      </w:pPr>
      <w:r>
        <w:rPr>
          <w:sz w:val="22"/>
          <w:szCs w:val="22"/>
        </w:rPr>
        <w:t xml:space="preserve">Loan Agreement and security documents must be executed before disbursement.</w:t>
      </w:r>
    </w:p>
    <w:p>
      <w:pPr>
        <w:pStyle w:val="ListParagraph"/>
        <w:numPr>
          <w:ilvl w:val="0"/>
          <w:numId w:val="2"/>
        </w:numPr>
      </w:pPr>
      <w:r>
        <w:rPr>
          <w:sz w:val="22"/>
          <w:szCs w:val="22"/>
        </w:rPr>
        <w:t xml:space="preserve">All conditions precedent specified in the sanction letter must be satisfied.</w:t>
      </w:r>
    </w:p>
    <w:p>
      <w:pPr>
        <w:pStyle w:val="ListParagraph"/>
        <w:numPr>
          <w:ilvl w:val="0"/>
          <w:numId w:val="2"/>
        </w:numPr>
      </w:pPr>
      <w:r>
        <w:rPr>
          <w:sz w:val="22"/>
          <w:szCs w:val="22"/>
        </w:rPr>
        <w:t xml:space="preserve">Property documents must be registered and title verified for secured loans.</w:t>
      </w:r>
    </w:p>
    <w:p>
      <w:pPr>
        <w:pStyle w:val="ListParagraph"/>
        <w:numPr>
          <w:ilvl w:val="0"/>
          <w:numId w:val="2"/>
        </w:numPr>
      </w:pPr>
      <w:r>
        <w:rPr>
          <w:sz w:val="22"/>
          <w:szCs w:val="22"/>
        </w:rPr>
        <w:t xml:space="preserve">Disbursement for home loans to be made directly to the developer or seller.</w:t>
      </w:r>
    </w:p>
    <w:p>
      <w:pPr>
        <w:pStyle w:val="ListParagraph"/>
        <w:numPr>
          <w:ilvl w:val="0"/>
          <w:numId w:val="2"/>
        </w:numPr>
      </w:pPr>
      <w:r>
        <w:rPr>
          <w:sz w:val="22"/>
          <w:szCs w:val="22"/>
        </w:rPr>
        <w:t xml:space="preserve">PDC / ECS / NACH mandate must be in place before disbursement.</w:t>
      </w:r>
    </w:p>
    <w:p>
      <w:r>
        <w:t xml:space="preserve"/>
      </w:r>
    </w:p>
    <w:p>
      <w:pPr>
        <w:pStyle w:val="Heading2"/>
      </w:pPr>
      <w:r>
        <w:rPr>
          <w:b/>
          <w:bCs/>
          <w:sz w:val="24"/>
          <w:szCs w:val="24"/>
        </w:rPr>
        <w:t xml:space="preserve">10. Deviations</w:t>
      </w:r>
    </w:p>
    <w:p>
      <w:r>
        <w:rPr>
          <w:sz w:val="22"/>
          <w:szCs w:val="22"/>
        </w:rPr>
        <w:t xml:space="preserve">Any deviation from this policy requires documented justification and must be approved by the appropriate authority one level above the standard approval level. Systematic deviations exceeding 5% of monthly sanction volume must be reported to the Chief Credit Officer.</w:t>
      </w:r>
    </w:p>
    <w:p>
      <w:r>
        <w:t xml:space="preserve"/>
      </w:r>
    </w:p>
    <w:p>
      <w:pPr>
        <w:pStyle w:val="Heading2"/>
      </w:pPr>
      <w:r>
        <w:rPr>
          <w:b/>
          <w:bCs/>
          <w:sz w:val="24"/>
          <w:szCs w:val="24"/>
        </w:rPr>
        <w:t xml:space="preserve">11. Portfolio Monitoring</w:t>
      </w:r>
    </w:p>
    <w:p>
      <w:r>
        <w:rPr>
          <w:sz w:val="22"/>
          <w:szCs w:val="22"/>
        </w:rPr>
        <w:t xml:space="preserve">The Retail Credit team shall monitor the retail credit portfolio on a monthly basis, tracking: NPA levels by product, vintage analysis, FOIR distribution, bureau score migration, and top borrower concentrations. Monthly reports are presented to the Credit Committee.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2026-05-09T07:00:36.369Z</dcterms:created>
  <dcterms:modified xsi:type="dcterms:W3CDTF">2026-05-09T07:00:36.369Z</dcterms:modified>
</cp:coreProperties>
</file>

<file path=docProps/custom.xml><?xml version="1.0" encoding="utf-8"?>
<Properties xmlns="http://schemas.openxmlformats.org/officeDocument/2006/custom-properties" xmlns:vt="http://schemas.openxmlformats.org/officeDocument/2006/docPropsVTypes"/>
</file>