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MSME Lending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Lending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POL-5868</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2.3</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MSME Banking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Credit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credit framework for lending to Micro, Small, and Medium Enterprises (MSMEs) as defined under the MSMED Act, 2006 (as amended by the MSME Development (Amendment) Act, 2020). It provides for a risk-proportionate approach to credit appraisal that recognises the unique characteristics of the MSME segment.</w:t>
      </w:r>
    </w:p>
    <w:p>
      <w:r>
        <w:t xml:space="preserve"/>
      </w:r>
    </w:p>
    <w:p>
      <w:pPr>
        <w:pStyle w:val="Heading2"/>
      </w:pPr>
      <w:r>
        <w:rPr>
          <w:b/>
          <w:bCs/>
          <w:sz w:val="24"/>
          <w:szCs w:val="24"/>
        </w:rPr>
        <w:t xml:space="preserve">2. MSME Classification (Revised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Category</w:t>
            </w:r>
          </w:p>
        </w:tc>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Investment in Plant &amp; Machinery / Equipment</w:t>
            </w:r>
          </w:p>
        </w:tc>
        <w:tc>
          <w:tcPr>
            <w:tcW w:type="dxa" w:w="3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Annual Turnover</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Micro Enterprise</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1 crore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5 crore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Small Enterprise</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10 crore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50 crore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Medium Enterprise</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50 crore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exceeding INR 250 crore</w:t>
            </w:r>
          </w:p>
        </w:tc>
      </w:tr>
    </w:tbl>
    <w:p>
      <w:r>
        <w:t xml:space="preserve"/>
      </w:r>
    </w:p>
    <w:p>
      <w:pPr>
        <w:pStyle w:val="Heading2"/>
      </w:pPr>
      <w:r>
        <w:rPr>
          <w:b/>
          <w:bCs/>
          <w:sz w:val="24"/>
          <w:szCs w:val="24"/>
        </w:rPr>
        <w:t xml:space="preserve">3. Priority Sector Lending (PSL) Targets</w:t>
      </w:r>
    </w:p>
    <w:p>
      <w:r>
        <w:rPr>
          <w:sz w:val="22"/>
          <w:szCs w:val="22"/>
        </w:rPr>
        <w:t xml:space="preserve">MSME lending contributes to the Bank's Priority Sector Lending (PSL) obligations under RBI guidelines. Specifically:</w:t>
      </w:r>
    </w:p>
    <w:p>
      <w:pPr>
        <w:pStyle w:val="ListParagraph"/>
        <w:numPr>
          <w:ilvl w:val="0"/>
          <w:numId w:val="2"/>
        </w:numPr>
      </w:pPr>
      <w:r>
        <w:rPr>
          <w:sz w:val="22"/>
          <w:szCs w:val="22"/>
        </w:rPr>
        <w:t xml:space="preserve">Loans to micro and small enterprises are classified under the Micro and Small category of PSL.</w:t>
      </w:r>
    </w:p>
    <w:p>
      <w:pPr>
        <w:pStyle w:val="ListParagraph"/>
        <w:numPr>
          <w:ilvl w:val="0"/>
          <w:numId w:val="2"/>
        </w:numPr>
      </w:pPr>
      <w:r>
        <w:rPr>
          <w:sz w:val="22"/>
          <w:szCs w:val="22"/>
        </w:rPr>
        <w:t xml:space="preserve">Loans to MSMEs engaged in manufacturing or services are eligible under PSL up to the prescribed limits per RBI Master Direction on PSL.</w:t>
      </w:r>
    </w:p>
    <w:p>
      <w:pPr>
        <w:pStyle w:val="ListParagraph"/>
        <w:numPr>
          <w:ilvl w:val="0"/>
          <w:numId w:val="2"/>
        </w:numPr>
      </w:pPr>
      <w:r>
        <w:rPr>
          <w:sz w:val="22"/>
          <w:szCs w:val="22"/>
        </w:rPr>
        <w:t xml:space="preserve">Targets are monitored quarterly and any shortfall is invested in RIDF/SIDBI as directed by RBI.</w:t>
      </w:r>
    </w:p>
    <w:p>
      <w:r>
        <w:t xml:space="preserve"/>
      </w:r>
    </w:p>
    <w:p>
      <w:pPr>
        <w:pStyle w:val="Heading2"/>
      </w:pPr>
      <w:r>
        <w:rPr>
          <w:b/>
          <w:bCs/>
          <w:sz w:val="24"/>
          <w:szCs w:val="24"/>
        </w:rPr>
        <w:t xml:space="preserve">4. Credit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Purpose</w:t>
            </w:r>
          </w:p>
        </w:tc>
        <w:tc>
          <w:tcPr>
            <w:tcW w:type="dxa" w:w="3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Typical Tenure</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Working Capital CC/OD</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Day-to-day business operations, stock and debtor financing</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 year (renewable)</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Term Loan</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Purchase of machinery, equipment, or business premises</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 to 7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CGTSME-Backed Loan</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Collateral-free loans under Credit Guarantee Fund Trust for Micro and Small Enterprises</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5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Invoice Financing / TReDS</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Financing against trade receivables via TReDS platform</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90 days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Equipment Finance</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Purchase of plant and machinery</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7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Mudra Loans</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Government-sponsored lending under PMMY scheme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 scheme guidelines</w:t>
            </w:r>
          </w:p>
        </w:tc>
      </w:tr>
    </w:tbl>
    <w:p>
      <w:r>
        <w:t xml:space="preserve"/>
      </w:r>
    </w:p>
    <w:p>
      <w:pPr>
        <w:pStyle w:val="Heading2"/>
      </w:pPr>
      <w:r>
        <w:rPr>
          <w:b/>
          <w:bCs/>
          <w:sz w:val="24"/>
          <w:szCs w:val="24"/>
        </w:rPr>
        <w:t xml:space="preserve">5. Credit Appraisal</w:t>
      </w:r>
    </w:p>
    <w:p>
      <w:pPr>
        <w:pStyle w:val="Heading3"/>
      </w:pPr>
      <w:r>
        <w:rPr>
          <w:b/>
          <w:bCs/>
          <w:sz w:val="22"/>
          <w:szCs w:val="22"/>
        </w:rPr>
        <w:t xml:space="preserve">5.1 Documentation (Simplified for Micro)</w:t>
      </w:r>
    </w:p>
    <w:p>
      <w:pPr>
        <w:pStyle w:val="ListParagraph"/>
        <w:numPr>
          <w:ilvl w:val="0"/>
          <w:numId w:val="2"/>
        </w:numPr>
      </w:pPr>
      <w:r>
        <w:rPr>
          <w:sz w:val="22"/>
          <w:szCs w:val="22"/>
        </w:rPr>
        <w:t xml:space="preserve">Bank statements for 12 months.</w:t>
      </w:r>
    </w:p>
    <w:p>
      <w:pPr>
        <w:pStyle w:val="ListParagraph"/>
        <w:numPr>
          <w:ilvl w:val="0"/>
          <w:numId w:val="2"/>
        </w:numPr>
      </w:pPr>
      <w:r>
        <w:rPr>
          <w:sz w:val="22"/>
          <w:szCs w:val="22"/>
        </w:rPr>
        <w:t xml:space="preserve">ITR / GSTR for 2 years.</w:t>
      </w:r>
    </w:p>
    <w:p>
      <w:pPr>
        <w:pStyle w:val="ListParagraph"/>
        <w:numPr>
          <w:ilvl w:val="0"/>
          <w:numId w:val="2"/>
        </w:numPr>
      </w:pPr>
      <w:r>
        <w:rPr>
          <w:sz w:val="22"/>
          <w:szCs w:val="22"/>
        </w:rPr>
        <w:t xml:space="preserve">Business vintage proof.</w:t>
      </w:r>
    </w:p>
    <w:p>
      <w:pPr>
        <w:pStyle w:val="ListParagraph"/>
        <w:numPr>
          <w:ilvl w:val="0"/>
          <w:numId w:val="2"/>
        </w:numPr>
      </w:pPr>
      <w:r>
        <w:rPr>
          <w:sz w:val="22"/>
          <w:szCs w:val="22"/>
        </w:rPr>
        <w:t xml:space="preserve">MSME Udyam Registration Certificate.</w:t>
      </w:r>
    </w:p>
    <w:p>
      <w:r>
        <w:t xml:space="preserve"/>
      </w:r>
    </w:p>
    <w:p>
      <w:pPr>
        <w:pStyle w:val="Heading3"/>
      </w:pPr>
      <w:r>
        <w:rPr>
          <w:b/>
          <w:bCs/>
          <w:sz w:val="22"/>
          <w:szCs w:val="22"/>
        </w:rPr>
        <w:t xml:space="preserve">5.2 Financial Assessment</w:t>
      </w:r>
    </w:p>
    <w:p>
      <w:pPr>
        <w:pStyle w:val="ListParagraph"/>
        <w:numPr>
          <w:ilvl w:val="0"/>
          <w:numId w:val="2"/>
        </w:numPr>
      </w:pPr>
      <w:r>
        <w:rPr>
          <w:sz w:val="22"/>
          <w:szCs w:val="22"/>
        </w:rPr>
        <w:t xml:space="preserve">Cash flow-based assessment where audited financials are unavailable.</w:t>
      </w:r>
    </w:p>
    <w:p>
      <w:pPr>
        <w:pStyle w:val="ListParagraph"/>
        <w:numPr>
          <w:ilvl w:val="0"/>
          <w:numId w:val="2"/>
        </w:numPr>
      </w:pPr>
      <w:r>
        <w:rPr>
          <w:sz w:val="22"/>
          <w:szCs w:val="22"/>
        </w:rPr>
        <w:t xml:space="preserve">GST turnover data used as proxy for income assessment for micro enterprises.</w:t>
      </w:r>
    </w:p>
    <w:p>
      <w:pPr>
        <w:pStyle w:val="ListParagraph"/>
        <w:numPr>
          <w:ilvl w:val="0"/>
          <w:numId w:val="2"/>
        </w:numPr>
      </w:pPr>
      <w:r>
        <w:rPr>
          <w:sz w:val="22"/>
          <w:szCs w:val="22"/>
        </w:rPr>
        <w:t xml:space="preserve">Credit bureau check for promoter and entity.</w:t>
      </w:r>
    </w:p>
    <w:p>
      <w:pPr>
        <w:pStyle w:val="ListParagraph"/>
        <w:numPr>
          <w:ilvl w:val="0"/>
          <w:numId w:val="2"/>
        </w:numPr>
      </w:pPr>
      <w:r>
        <w:rPr>
          <w:sz w:val="22"/>
          <w:szCs w:val="22"/>
        </w:rPr>
        <w:t xml:space="preserve">DSCR &gt; 1.1x for term loans.</w:t>
      </w:r>
    </w:p>
    <w:p>
      <w:r>
        <w:t xml:space="preserve"/>
      </w:r>
    </w:p>
    <w:p>
      <w:pPr>
        <w:pStyle w:val="Heading2"/>
      </w:pPr>
      <w:r>
        <w:rPr>
          <w:b/>
          <w:bCs/>
          <w:sz w:val="24"/>
          <w:szCs w:val="24"/>
        </w:rPr>
        <w:t xml:space="preserve">6. Collateral</w:t>
      </w:r>
    </w:p>
    <w:p>
      <w:r>
        <w:rPr>
          <w:sz w:val="22"/>
          <w:szCs w:val="22"/>
        </w:rPr>
        <w:t xml:space="preserve">The Bank follows a collateral-free approach for MSME loans up to INR 10 lakh under CGTSME. For loans above INR 10 lakh, security may include:</w:t>
      </w:r>
    </w:p>
    <w:p>
      <w:pPr>
        <w:pStyle w:val="ListParagraph"/>
        <w:numPr>
          <w:ilvl w:val="0"/>
          <w:numId w:val="2"/>
        </w:numPr>
      </w:pPr>
      <w:r>
        <w:rPr>
          <w:sz w:val="22"/>
          <w:szCs w:val="22"/>
        </w:rPr>
        <w:t xml:space="preserve">Hypothecation of business assets (stock, debtors, equipment).</w:t>
      </w:r>
    </w:p>
    <w:p>
      <w:pPr>
        <w:pStyle w:val="ListParagraph"/>
        <w:numPr>
          <w:ilvl w:val="0"/>
          <w:numId w:val="2"/>
        </w:numPr>
      </w:pPr>
      <w:r>
        <w:rPr>
          <w:sz w:val="22"/>
          <w:szCs w:val="22"/>
        </w:rPr>
        <w:t xml:space="preserve">Equitable mortgage of property.</w:t>
      </w:r>
    </w:p>
    <w:p>
      <w:pPr>
        <w:pStyle w:val="ListParagraph"/>
        <w:numPr>
          <w:ilvl w:val="0"/>
          <w:numId w:val="2"/>
        </w:numPr>
      </w:pPr>
      <w:r>
        <w:rPr>
          <w:sz w:val="22"/>
          <w:szCs w:val="22"/>
        </w:rPr>
        <w:t xml:space="preserve">Personal guarantee of promoter(s).</w:t>
      </w:r>
    </w:p>
    <w:p>
      <w:r>
        <w:t xml:space="preserve"/>
      </w:r>
    </w:p>
    <w:p>
      <w:pPr>
        <w:pStyle w:val="Heading2"/>
      </w:pPr>
      <w:r>
        <w:rPr>
          <w:b/>
          <w:bCs/>
          <w:sz w:val="24"/>
          <w:szCs w:val="24"/>
        </w:rPr>
        <w:t xml:space="preserve">7. Emergency Credit Line Guarantee Scheme (ECLGS)</w:t>
      </w:r>
    </w:p>
    <w:p>
      <w:r>
        <w:rPr>
          <w:sz w:val="22"/>
          <w:szCs w:val="22"/>
        </w:rPr>
        <w:t xml:space="preserve">The Bank participates in government-sponsored emergency credit schemes (including ECLGS and its variants) for COVID-19-affected MSMEs and subsequent government programs. All such lending follows the scheme guidelines issued by NCGTC / Ministry of Finance and must be tracked separately in the core banking system.</w:t>
      </w:r>
    </w:p>
    <w:p>
      <w:r>
        <w:t xml:space="preserve"/>
      </w:r>
    </w:p>
    <w:p>
      <w:pPr>
        <w:pStyle w:val="Heading2"/>
      </w:pPr>
      <w:r>
        <w:rPr>
          <w:b/>
          <w:bCs/>
          <w:sz w:val="24"/>
          <w:szCs w:val="24"/>
        </w:rPr>
        <w:t xml:space="preserve">8. NPA Monitoring and Recovery</w:t>
      </w:r>
    </w:p>
    <w:p>
      <w:r>
        <w:rPr>
          <w:sz w:val="22"/>
          <w:szCs w:val="22"/>
        </w:rPr>
        <w:t xml:space="preserve">MSME NPA monitoring follows the Bank's NPA Management Policy. For MSMEs with aggregate exposure below INR 25 lakh, the Bank may refer NPA accounts to the MSME Facilitation Council for mediation before pursuing legal recovery action.</w:t>
      </w:r>
    </w:p>
    <w:p>
      <w:r>
        <w:t xml:space="preserve"/>
      </w:r>
    </w:p>
    <w:p>
      <w:pPr>
        <w:pStyle w:val="Heading2"/>
      </w:pPr>
      <w:r>
        <w:rPr>
          <w:b/>
          <w:bCs/>
          <w:sz w:val="24"/>
          <w:szCs w:val="24"/>
        </w:rPr>
        <w:t xml:space="preserve">9. Turnaround Time (TAT)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Loan Type</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Target TAT (from complete application)</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Micro (up to INR 10 lakh)</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72 hours</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Small (INR 10 lakh to INR 1 crore)</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 working days</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Medium (INR 1 crore to INR 10 crore)</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 working days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2026-05-09T07:00:36.500Z</dcterms:created>
  <dcterms:modified xsi:type="dcterms:W3CDTF">2026-05-09T07:00:36.500Z</dcterms:modified>
</cp:coreProperties>
</file>

<file path=docProps/custom.xml><?xml version="1.0" encoding="utf-8"?>
<Properties xmlns="http://schemas.openxmlformats.org/officeDocument/2006/custom-properties" xmlns:vt="http://schemas.openxmlformats.org/officeDocument/2006/docPropsVTypes"/>
</file>