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Credit Risk Assessment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Risk Assessment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POL-9398</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Chief Risk Officer</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Risk Management</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defines the principles, methodology, and governance framework for assessing credit risk across all credit portfolios of the Bank. It ensures that credit risk is identified, measured, monitored, and controlled within the Board-approved risk appetite.</w:t>
      </w:r>
    </w:p>
    <w:p>
      <w:r>
        <w:t xml:space="preserve"/>
      </w:r>
    </w:p>
    <w:p>
      <w:pPr>
        <w:pStyle w:val="Heading2"/>
      </w:pPr>
      <w:r>
        <w:rPr>
          <w:b/>
          <w:bCs/>
          <w:sz w:val="24"/>
          <w:szCs w:val="24"/>
        </w:rPr>
        <w:t xml:space="preserve">2. Credit Risk Appetite</w:t>
      </w:r>
    </w:p>
    <w:p>
      <w:r>
        <w:rPr>
          <w:sz w:val="22"/>
          <w:szCs w:val="22"/>
        </w:rPr>
        <w:t xml:space="preserve">The Bank's Board-approved credit risk appetite is expressed through the following metrics:</w:t>
      </w:r>
    </w:p>
    <w:p>
      <w:pPr>
        <w:pStyle w:val="ListParagraph"/>
        <w:numPr>
          <w:ilvl w:val="0"/>
          <w:numId w:val="2"/>
        </w:numPr>
      </w:pPr>
      <w:r>
        <w:rPr>
          <w:sz w:val="22"/>
          <w:szCs w:val="22"/>
        </w:rPr>
        <w:t xml:space="preserve">Gross NPA ratio: not to exceed 3.0% of gross advances.</w:t>
      </w:r>
    </w:p>
    <w:p>
      <w:pPr>
        <w:pStyle w:val="ListParagraph"/>
        <w:numPr>
          <w:ilvl w:val="0"/>
          <w:numId w:val="2"/>
        </w:numPr>
      </w:pPr>
      <w:r>
        <w:rPr>
          <w:sz w:val="22"/>
          <w:szCs w:val="22"/>
        </w:rPr>
        <w:t xml:space="preserve">Net NPA ratio: not to exceed 1.0% of net advances.</w:t>
      </w:r>
    </w:p>
    <w:p>
      <w:pPr>
        <w:pStyle w:val="ListParagraph"/>
        <w:numPr>
          <w:ilvl w:val="0"/>
          <w:numId w:val="2"/>
        </w:numPr>
      </w:pPr>
      <w:r>
        <w:rPr>
          <w:sz w:val="22"/>
          <w:szCs w:val="22"/>
        </w:rPr>
        <w:t xml:space="preserve">Provision Coverage Ratio (PCR): minimum 70%.</w:t>
      </w:r>
    </w:p>
    <w:p>
      <w:pPr>
        <w:pStyle w:val="ListParagraph"/>
        <w:numPr>
          <w:ilvl w:val="0"/>
          <w:numId w:val="2"/>
        </w:numPr>
      </w:pPr>
      <w:r>
        <w:rPr>
          <w:sz w:val="22"/>
          <w:szCs w:val="22"/>
        </w:rPr>
        <w:t xml:space="preserve">Capital adequacy (CAR): minimum 12.5% (Tier 1 minimum 10%).</w:t>
      </w:r>
    </w:p>
    <w:p>
      <w:pPr>
        <w:pStyle w:val="ListParagraph"/>
        <w:numPr>
          <w:ilvl w:val="0"/>
          <w:numId w:val="2"/>
        </w:numPr>
      </w:pPr>
      <w:r>
        <w:rPr>
          <w:sz w:val="22"/>
          <w:szCs w:val="22"/>
        </w:rPr>
        <w:t xml:space="preserve">Credit cost (loan loss provision / average advances): maximum 1.5% per annum.</w:t>
      </w:r>
    </w:p>
    <w:p>
      <w:r>
        <w:t xml:space="preserve"/>
      </w:r>
    </w:p>
    <w:p>
      <w:pPr>
        <w:pStyle w:val="Heading2"/>
      </w:pPr>
      <w:r>
        <w:rPr>
          <w:b/>
          <w:bCs/>
          <w:sz w:val="24"/>
          <w:szCs w:val="24"/>
        </w:rPr>
        <w:t xml:space="preserve">3. Credit Risk Measurement</w:t>
      </w:r>
    </w:p>
    <w:p>
      <w:pPr>
        <w:pStyle w:val="Heading3"/>
      </w:pPr>
      <w:r>
        <w:rPr>
          <w:b/>
          <w:bCs/>
          <w:sz w:val="22"/>
          <w:szCs w:val="22"/>
        </w:rPr>
        <w:t xml:space="preserve">3.1 Internal Credit Rating</w:t>
      </w:r>
    </w:p>
    <w:p>
      <w:r>
        <w:rPr>
          <w:sz w:val="22"/>
          <w:szCs w:val="22"/>
        </w:rPr>
        <w:t xml:space="preserve">The Bank operates an internal credit rating (ICR) model for corporate borrowers with exposure above INR 5 crore. The ICR covers financial parameters (50% weight), business and management parameters (30% weight), and industry/macro parameters (20% weight). Ratings are on a 10-point scale from AAA (highest quality) to D (default).</w:t>
      </w:r>
    </w:p>
    <w:p>
      <w:r>
        <w:t xml:space="preserve"/>
      </w:r>
    </w:p>
    <w:p>
      <w:pPr>
        <w:pStyle w:val="Heading3"/>
      </w:pPr>
      <w:r>
        <w:rPr>
          <w:b/>
          <w:bCs/>
          <w:sz w:val="22"/>
          <w:szCs w:val="22"/>
        </w:rPr>
        <w:t xml:space="preserve">3.2 Retail Credit Scoring</w:t>
      </w:r>
    </w:p>
    <w:p>
      <w:r>
        <w:rPr>
          <w:sz w:val="22"/>
          <w:szCs w:val="22"/>
        </w:rPr>
        <w:t xml:space="preserve">Retail loans are assessed using a combination of bureau score (40%), income metrics (30%), account behavior (20%), and demographic/employment factors (10%). Scorecards are reviewed and recalibrated at least annually by the Risk Analytics team.</w:t>
      </w:r>
    </w:p>
    <w:p>
      <w:r>
        <w:t xml:space="preserve"/>
      </w:r>
    </w:p>
    <w:p>
      <w:pPr>
        <w:pStyle w:val="Heading3"/>
      </w:pPr>
      <w:r>
        <w:rPr>
          <w:b/>
          <w:bCs/>
          <w:sz w:val="22"/>
          <w:szCs w:val="22"/>
        </w:rPr>
        <w:t xml:space="preserve">3.3 Probability of Default (PD), Loss Given Default (LGD), Exposure at Default (EAD)</w:t>
      </w:r>
    </w:p>
    <w:p>
      <w:r>
        <w:rPr>
          <w:sz w:val="22"/>
          <w:szCs w:val="22"/>
        </w:rPr>
        <w:t xml:space="preserve">The Bank maintains PD, LGD, and EAD estimates for its material credit portfolios in accordance with Basel III requirements. These estimates are used for:</w:t>
      </w:r>
    </w:p>
    <w:p>
      <w:pPr>
        <w:pStyle w:val="ListParagraph"/>
        <w:numPr>
          <w:ilvl w:val="0"/>
          <w:numId w:val="2"/>
        </w:numPr>
      </w:pPr>
      <w:r>
        <w:rPr>
          <w:sz w:val="22"/>
          <w:szCs w:val="22"/>
        </w:rPr>
        <w:t xml:space="preserve">Economic capital computation.</w:t>
      </w:r>
    </w:p>
    <w:p>
      <w:pPr>
        <w:pStyle w:val="ListParagraph"/>
        <w:numPr>
          <w:ilvl w:val="0"/>
          <w:numId w:val="2"/>
        </w:numPr>
      </w:pPr>
      <w:r>
        <w:rPr>
          <w:sz w:val="22"/>
          <w:szCs w:val="22"/>
        </w:rPr>
        <w:t xml:space="preserve">ICAAP (Internal Capital Adequacy Assessment Process) stress testing.</w:t>
      </w:r>
    </w:p>
    <w:p>
      <w:pPr>
        <w:pStyle w:val="ListParagraph"/>
        <w:numPr>
          <w:ilvl w:val="0"/>
          <w:numId w:val="2"/>
        </w:numPr>
      </w:pPr>
      <w:r>
        <w:rPr>
          <w:sz w:val="22"/>
          <w:szCs w:val="22"/>
        </w:rPr>
        <w:t xml:space="preserve">Expected Credit Loss (ECL) provisioning under Ind AS 109.</w:t>
      </w:r>
    </w:p>
    <w:p>
      <w:r>
        <w:t xml:space="preserve"/>
      </w:r>
    </w:p>
    <w:p>
      <w:pPr>
        <w:pStyle w:val="Heading2"/>
      </w:pPr>
      <w:r>
        <w:rPr>
          <w:b/>
          <w:bCs/>
          <w:sz w:val="24"/>
          <w:szCs w:val="24"/>
        </w:rPr>
        <w:t xml:space="preserve">4. Portfolio Concentration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Concentration Dimension</w:t>
            </w:r>
          </w:p>
        </w:tc>
        <w:tc>
          <w:tcPr>
            <w:tcW w:type="dxa" w:w="5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Limit</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Single Borrower</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Maximum 20% of capital funds (RBI Large Exposure Framework)</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Group of Connected Borrowers</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Maximum 25% of capital funds</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Single Industry / Sector</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Maximum 20% of total credit portfolio</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Real Estate (direct + indirect)</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Maximum 10% of total credit portfolio</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Unsecured Retail Portfolio</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Maximum 15% of total retail portfolio</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International / Cross-border</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 Board-approved Country Risk Policy limits</w:t>
            </w:r>
          </w:p>
        </w:tc>
      </w:tr>
    </w:tbl>
    <w:p>
      <w:r>
        <w:t xml:space="preserve"/>
      </w:r>
    </w:p>
    <w:p>
      <w:pPr>
        <w:pStyle w:val="Heading2"/>
      </w:pPr>
      <w:r>
        <w:rPr>
          <w:b/>
          <w:bCs/>
          <w:sz w:val="24"/>
          <w:szCs w:val="24"/>
        </w:rPr>
        <w:t xml:space="preserve">5. Stress Testing</w:t>
      </w:r>
    </w:p>
    <w:p>
      <w:r>
        <w:rPr>
          <w:sz w:val="22"/>
          <w:szCs w:val="22"/>
        </w:rPr>
        <w:t xml:space="preserve">The Risk Management department conducts credit portfolio stress tests on a quarterly basis, and as required by RBI or the Board. Stress scenarios include:</w:t>
      </w:r>
    </w:p>
    <w:p>
      <w:pPr>
        <w:pStyle w:val="ListParagraph"/>
        <w:numPr>
          <w:ilvl w:val="0"/>
          <w:numId w:val="2"/>
        </w:numPr>
      </w:pPr>
      <w:r>
        <w:rPr>
          <w:sz w:val="22"/>
          <w:szCs w:val="22"/>
        </w:rPr>
        <w:t xml:space="preserve">Macro-economic shock: GDP decline of 2%, repo rate increase of 200 bps, INR depreciation of 15%.</w:t>
      </w:r>
    </w:p>
    <w:p>
      <w:pPr>
        <w:pStyle w:val="ListParagraph"/>
        <w:numPr>
          <w:ilvl w:val="0"/>
          <w:numId w:val="2"/>
        </w:numPr>
      </w:pPr>
      <w:r>
        <w:rPr>
          <w:sz w:val="22"/>
          <w:szCs w:val="22"/>
        </w:rPr>
        <w:t xml:space="preserve">Sector-specific shock: 30% income decline in top 3 credit-concentrated sectors.</w:t>
      </w:r>
    </w:p>
    <w:p>
      <w:pPr>
        <w:pStyle w:val="ListParagraph"/>
        <w:numPr>
          <w:ilvl w:val="0"/>
          <w:numId w:val="2"/>
        </w:numPr>
      </w:pPr>
      <w:r>
        <w:rPr>
          <w:sz w:val="22"/>
          <w:szCs w:val="22"/>
        </w:rPr>
        <w:t xml:space="preserve">NPA shock: Migration of 20% of SMA-2 and 50% of SMA-2 to NPA.</w:t>
      </w:r>
    </w:p>
    <w:p>
      <w:r>
        <w:rPr>
          <w:sz w:val="22"/>
          <w:szCs w:val="22"/>
        </w:rPr>
        <w:t xml:space="preserve">Results are reported to the Risk Management Committee and the Board.</w:t>
      </w:r>
    </w:p>
    <w:p>
      <w:r>
        <w:t xml:space="preserve"/>
      </w:r>
    </w:p>
    <w:p>
      <w:pPr>
        <w:pStyle w:val="Heading2"/>
      </w:pPr>
      <w:r>
        <w:rPr>
          <w:b/>
          <w:bCs/>
          <w:sz w:val="24"/>
          <w:szCs w:val="24"/>
        </w:rPr>
        <w:t xml:space="preserve">6. Credit Risk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Report</w:t>
            </w:r>
          </w:p>
        </w:tc>
        <w:tc>
          <w:tcPr>
            <w:tcW w:type="dxa" w:w="2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Frequency</w:t>
            </w:r>
          </w:p>
        </w:tc>
        <w:tc>
          <w:tcPr>
            <w:tcW w:type="dxa" w:w="3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Recipient</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Portfolio NPA and Provision Report</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Monthly</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Risk Management Committee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Early Warning Signal (EWS) Report</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Monthly</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Risk Management Committee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Large Exposure Report</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Monthly</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Risk Management Committee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Stress Test Results</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Quarterly</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ICAAP Report</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and RBI</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CRILC Report (SMA-2 + NPA)</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Weekly (SMA-2 above INR 5 cr) / Monthly</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RBI</w:t>
            </w:r>
          </w:p>
        </w:tc>
      </w:tr>
    </w:tbl>
    <w:p>
      <w:r>
        <w:t xml:space="preserve"/>
      </w:r>
    </w:p>
    <w:p>
      <w:pPr>
        <w:pStyle w:val="Heading2"/>
      </w:pPr>
      <w:r>
        <w:rPr>
          <w:b/>
          <w:bCs/>
          <w:sz w:val="24"/>
          <w:szCs w:val="24"/>
        </w:rPr>
        <w:t xml:space="preserve">7. Governance</w:t>
      </w:r>
    </w:p>
    <w:p>
      <w:r>
        <w:rPr>
          <w:sz w:val="22"/>
          <w:szCs w:val="22"/>
        </w:rPr>
        <w:t xml:space="preserve">The Risk Management Committee (RMC) oversees the Bank's credit risk management framework. The Chief Risk Officer (CRO) is responsible for policy implementation and reports independently to the Board. Credit underwriting is segregated from credit risk management to ensure independence.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2026-05-09T07:00:36.822Z</dcterms:created>
  <dcterms:modified xsi:type="dcterms:W3CDTF">2026-05-09T07:00:36.822Z</dcterms:modified>
</cp:coreProperties>
</file>

<file path=docProps/custom.xml><?xml version="1.0" encoding="utf-8"?>
<Properties xmlns="http://schemas.openxmlformats.org/officeDocument/2006/custom-properties" xmlns:vt="http://schemas.openxmlformats.org/officeDocument/2006/docPropsVTypes"/>
</file>