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Debit / Credit Card Usage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Field</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Document Title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Debit / Credit Card Usage Policy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Number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POL-9200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Version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Effective Date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01 April 2025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 Cycle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Owner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Head – Cards Business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Department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Retail Payments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Approved By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Risk &amp; Compliance Committee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Classification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 Restricted</w:t>
            </w:r>
          </w:p>
        </w:tc>
      </w:tr>
    </w:tbl>
    <w:p>
      <w:r>
        <w:t xml:space="preserve"/>
      </w:r>
    </w:p>
    <w:p>
      <w:pPr>
        <w:pStyle w:val="Heading2"/>
      </w:pPr>
      <w:r>
        <w:rPr>
          <w:b/>
          <w:bCs/>
          <w:sz w:val="24"/>
          <w:szCs w:val="24"/>
        </w:rPr>
        <w:t xml:space="preserve">1. Purpose</w:t>
      </w:r>
    </w:p>
    <w:p>
      <w:r>
        <w:rPr>
          <w:sz w:val="22"/>
          <w:szCs w:val="22"/>
        </w:rPr>
        <w:t xml:space="preserve">This policy defines the standards, controls, and customer obligations governing the issuance and usage of debit and credit cards. It covers card controls, limits, international usage, security responsibilities, and reporting of compromised cards.</w:t>
      </w:r>
    </w:p>
    <w:p>
      <w:r>
        <w:t xml:space="preserve"/>
      </w:r>
    </w:p>
    <w:p>
      <w:pPr>
        <w:pStyle w:val="Heading2"/>
      </w:pPr>
      <w:r>
        <w:rPr>
          <w:b/>
          <w:bCs/>
          <w:sz w:val="24"/>
          <w:szCs w:val="24"/>
        </w:rPr>
        <w:t xml:space="preserve">2. Card Issuance</w:t>
      </w:r>
    </w:p>
    <w:p>
      <w:r>
        <w:rPr>
          <w:sz w:val="22"/>
          <w:szCs w:val="22"/>
        </w:rPr>
        <w:t xml:space="preserve">Debit cards are issued automatically to all savings and current account holders unless the customer opts out. Credit cards are issued on application and subject to eligibility criteria defined in the Credit Card Policy. Cards are dispatched by secured courier to the customer's KYC-registered address within 7 working days of account opening or credit approval.</w:t>
      </w:r>
    </w:p>
    <w:p>
      <w:r>
        <w:t xml:space="preserve"/>
      </w:r>
    </w:p>
    <w:p>
      <w:pPr>
        <w:pStyle w:val="Heading2"/>
      </w:pPr>
      <w:r>
        <w:rPr>
          <w:b/>
          <w:bCs/>
          <w:sz w:val="24"/>
          <w:szCs w:val="24"/>
        </w:rPr>
        <w:t xml:space="preserve">3. Card Activation</w:t>
      </w:r>
    </w:p>
    <w:p>
      <w:r>
        <w:rPr>
          <w:sz w:val="22"/>
          <w:szCs w:val="22"/>
        </w:rPr>
        <w:t xml:space="preserve">Cards must be activated by the customer before first use. Activation channels:</w:t>
      </w:r>
    </w:p>
    <w:p>
      <w:pPr>
        <w:pStyle w:val="ListParagraph"/>
        <w:numPr>
          <w:ilvl w:val="0"/>
          <w:numId w:val="2"/>
        </w:numPr>
      </w:pPr>
      <w:r>
        <w:rPr>
          <w:sz w:val="22"/>
          <w:szCs w:val="22"/>
        </w:rPr>
        <w:t xml:space="preserve">ATM PIN generation using OTP sent to registered mobile number.</w:t>
      </w:r>
    </w:p>
    <w:p>
      <w:pPr>
        <w:pStyle w:val="ListParagraph"/>
        <w:numPr>
          <w:ilvl w:val="0"/>
          <w:numId w:val="2"/>
        </w:numPr>
      </w:pPr>
      <w:r>
        <w:rPr>
          <w:sz w:val="22"/>
          <w:szCs w:val="22"/>
        </w:rPr>
        <w:t xml:space="preserve">Internet banking / mobile banking activation.</w:t>
      </w:r>
    </w:p>
    <w:p>
      <w:pPr>
        <w:pStyle w:val="ListParagraph"/>
        <w:numPr>
          <w:ilvl w:val="0"/>
          <w:numId w:val="2"/>
        </w:numPr>
      </w:pPr>
      <w:r>
        <w:rPr>
          <w:sz w:val="22"/>
          <w:szCs w:val="22"/>
        </w:rPr>
        <w:t xml:space="preserve">IVR-based activation (for debit cards).</w:t>
      </w:r>
    </w:p>
    <w:p>
      <w:r>
        <w:rPr>
          <w:sz w:val="22"/>
          <w:szCs w:val="22"/>
        </w:rPr>
        <w:t xml:space="preserve">Cards not activated within 60 days of issuance are blocked automatically. Reactivation requires a fresh request.</w:t>
      </w:r>
    </w:p>
    <w:p>
      <w:r>
        <w:t xml:space="preserve"/>
      </w:r>
    </w:p>
    <w:p>
      <w:pPr>
        <w:pStyle w:val="Heading2"/>
      </w:pPr>
      <w:r>
        <w:rPr>
          <w:b/>
          <w:bCs/>
          <w:sz w:val="24"/>
          <w:szCs w:val="24"/>
        </w:rPr>
        <w:t xml:space="preserve">4. Transaction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Limit Type</w:t>
            </w:r>
          </w:p>
        </w:tc>
        <w:tc>
          <w:tcPr>
            <w:tcW w:type="dxa" w:w="28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Debit Card (Default)</w:t>
            </w:r>
          </w:p>
        </w:tc>
        <w:tc>
          <w:tcPr>
            <w:tcW w:type="dxa" w:w="35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Credit Card</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ATM Cash Withdrawal</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25,000 per day</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25,000 per day (on credit line)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POS / Online Transaction</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1,00,000 per day</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As per credit limit</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Contactless (NFC)</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5,000 per transaction (no PIN required below INR 5,000)</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5,000 per transaction (no PIN required below INR 5,000)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International Transactions</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Disabled by default; enabled on customer request</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Disabled by default; enabled on customer request</w:t>
            </w:r>
          </w:p>
        </w:tc>
      </w:tr>
    </w:tbl>
    <w:p>
      <w:r>
        <w:rPr>
          <w:sz w:val="22"/>
          <w:szCs w:val="22"/>
        </w:rPr>
        <w:t xml:space="preserve">Customers may customise their transaction limits within maximum permissible limits via mobile banking or internet banking.</w:t>
      </w:r>
    </w:p>
    <w:p>
      <w:r>
        <w:t xml:space="preserve"/>
      </w:r>
    </w:p>
    <w:p>
      <w:pPr>
        <w:pStyle w:val="Heading2"/>
      </w:pPr>
      <w:r>
        <w:rPr>
          <w:b/>
          <w:bCs/>
          <w:sz w:val="24"/>
          <w:szCs w:val="24"/>
        </w:rPr>
        <w:t xml:space="preserve">5. International Usage</w:t>
      </w:r>
    </w:p>
    <w:p>
      <w:r>
        <w:rPr>
          <w:sz w:val="22"/>
          <w:szCs w:val="22"/>
        </w:rPr>
        <w:t xml:space="preserve">International transactions are disabled by default in compliance with RBI directions. Customers wishing to use their cards internationally must enable international usage via internet banking, mobile banking, or customer care. International transaction charges apply as per the Schedule of Charges. Cross-currency mark-up is disclosed to the customer at the time of enabling international usage.</w:t>
      </w:r>
    </w:p>
    <w:p>
      <w:r>
        <w:t xml:space="preserve"/>
      </w:r>
    </w:p>
    <w:p>
      <w:pPr>
        <w:pStyle w:val="Heading2"/>
      </w:pPr>
      <w:r>
        <w:rPr>
          <w:b/>
          <w:bCs/>
          <w:sz w:val="24"/>
          <w:szCs w:val="24"/>
        </w:rPr>
        <w:t xml:space="preserve">6. Card Controls</w:t>
      </w:r>
    </w:p>
    <w:p>
      <w:r>
        <w:rPr>
          <w:sz w:val="22"/>
          <w:szCs w:val="22"/>
        </w:rPr>
        <w:t xml:space="preserve">The Bank provides customers real-time card controls via the mobile banking application:</w:t>
      </w:r>
    </w:p>
    <w:p>
      <w:pPr>
        <w:pStyle w:val="ListParagraph"/>
        <w:numPr>
          <w:ilvl w:val="0"/>
          <w:numId w:val="2"/>
        </w:numPr>
      </w:pPr>
      <w:r>
        <w:rPr>
          <w:sz w:val="22"/>
          <w:szCs w:val="22"/>
        </w:rPr>
        <w:t xml:space="preserve">Enable / disable card for online transactions.</w:t>
      </w:r>
    </w:p>
    <w:p>
      <w:pPr>
        <w:pStyle w:val="ListParagraph"/>
        <w:numPr>
          <w:ilvl w:val="0"/>
          <w:numId w:val="2"/>
        </w:numPr>
      </w:pPr>
      <w:r>
        <w:rPr>
          <w:sz w:val="22"/>
          <w:szCs w:val="22"/>
        </w:rPr>
        <w:t xml:space="preserve">Enable / disable contactless transactions.</w:t>
      </w:r>
    </w:p>
    <w:p>
      <w:pPr>
        <w:pStyle w:val="ListParagraph"/>
        <w:numPr>
          <w:ilvl w:val="0"/>
          <w:numId w:val="2"/>
        </w:numPr>
      </w:pPr>
      <w:r>
        <w:rPr>
          <w:sz w:val="22"/>
          <w:szCs w:val="22"/>
        </w:rPr>
        <w:t xml:space="preserve">Enable / disable international transactions.</w:t>
      </w:r>
    </w:p>
    <w:p>
      <w:pPr>
        <w:pStyle w:val="ListParagraph"/>
        <w:numPr>
          <w:ilvl w:val="0"/>
          <w:numId w:val="2"/>
        </w:numPr>
      </w:pPr>
      <w:r>
        <w:rPr>
          <w:sz w:val="22"/>
          <w:szCs w:val="22"/>
        </w:rPr>
        <w:t xml:space="preserve">Set daily transaction limits.</w:t>
      </w:r>
    </w:p>
    <w:p>
      <w:pPr>
        <w:pStyle w:val="ListParagraph"/>
        <w:numPr>
          <w:ilvl w:val="0"/>
          <w:numId w:val="2"/>
        </w:numPr>
      </w:pPr>
      <w:r>
        <w:rPr>
          <w:sz w:val="22"/>
          <w:szCs w:val="22"/>
        </w:rPr>
        <w:t xml:space="preserve">Block and unblock card instantly.</w:t>
      </w:r>
    </w:p>
    <w:p>
      <w:r>
        <w:t xml:space="preserve"/>
      </w:r>
    </w:p>
    <w:p>
      <w:pPr>
        <w:pStyle w:val="Heading2"/>
      </w:pPr>
      <w:r>
        <w:rPr>
          <w:b/>
          <w:bCs/>
          <w:sz w:val="24"/>
          <w:szCs w:val="24"/>
        </w:rPr>
        <w:t xml:space="preserve">7. Security Obligations – Customer</w:t>
      </w:r>
    </w:p>
    <w:p>
      <w:r>
        <w:rPr>
          <w:sz w:val="22"/>
          <w:szCs w:val="22"/>
        </w:rPr>
        <w:t xml:space="preserve">Customers are responsible for:</w:t>
      </w:r>
    </w:p>
    <w:p>
      <w:pPr>
        <w:pStyle w:val="ListParagraph"/>
        <w:numPr>
          <w:ilvl w:val="0"/>
          <w:numId w:val="2"/>
        </w:numPr>
      </w:pPr>
      <w:r>
        <w:rPr>
          <w:sz w:val="22"/>
          <w:szCs w:val="22"/>
        </w:rPr>
        <w:t xml:space="preserve">Not disclosing PIN, OTP, CVV, or card details to any person including Bank staff.</w:t>
      </w:r>
    </w:p>
    <w:p>
      <w:pPr>
        <w:pStyle w:val="ListParagraph"/>
        <w:numPr>
          <w:ilvl w:val="0"/>
          <w:numId w:val="2"/>
        </w:numPr>
      </w:pPr>
      <w:r>
        <w:rPr>
          <w:sz w:val="22"/>
          <w:szCs w:val="22"/>
        </w:rPr>
        <w:t xml:space="preserve">Immediately reporting lost or stolen cards to the Bank's 24x7 customer care.</w:t>
      </w:r>
    </w:p>
    <w:p>
      <w:pPr>
        <w:pStyle w:val="ListParagraph"/>
        <w:numPr>
          <w:ilvl w:val="0"/>
          <w:numId w:val="2"/>
        </w:numPr>
      </w:pPr>
      <w:r>
        <w:rPr>
          <w:sz w:val="22"/>
          <w:szCs w:val="22"/>
        </w:rPr>
        <w:t xml:space="preserve">Not writing the PIN on the card or keeping it with the card.</w:t>
      </w:r>
    </w:p>
    <w:p>
      <w:pPr>
        <w:pStyle w:val="ListParagraph"/>
        <w:numPr>
          <w:ilvl w:val="0"/>
          <w:numId w:val="2"/>
        </w:numPr>
      </w:pPr>
      <w:r>
        <w:rPr>
          <w:sz w:val="22"/>
          <w:szCs w:val="22"/>
        </w:rPr>
        <w:t xml:space="preserve">Checking statements regularly and reporting discrepancies within 30 days.</w:t>
      </w:r>
    </w:p>
    <w:p>
      <w:r>
        <w:t xml:space="preserve"/>
      </w:r>
    </w:p>
    <w:p>
      <w:pPr>
        <w:pStyle w:val="Heading2"/>
      </w:pPr>
      <w:r>
        <w:rPr>
          <w:b/>
          <w:bCs/>
          <w:sz w:val="24"/>
          <w:szCs w:val="24"/>
        </w:rPr>
        <w:t xml:space="preserve">8. Security Standards – Bank</w:t>
      </w:r>
    </w:p>
    <w:p>
      <w:pPr>
        <w:pStyle w:val="ListParagraph"/>
        <w:numPr>
          <w:ilvl w:val="0"/>
          <w:numId w:val="2"/>
        </w:numPr>
      </w:pPr>
      <w:r>
        <w:rPr>
          <w:sz w:val="22"/>
          <w:szCs w:val="22"/>
        </w:rPr>
        <w:t xml:space="preserve">All debit and credit cards are EMV chip-and-PIN enabled.</w:t>
      </w:r>
    </w:p>
    <w:p>
      <w:pPr>
        <w:pStyle w:val="ListParagraph"/>
        <w:numPr>
          <w:ilvl w:val="0"/>
          <w:numId w:val="2"/>
        </w:numPr>
      </w:pPr>
      <w:r>
        <w:rPr>
          <w:sz w:val="22"/>
          <w:szCs w:val="22"/>
        </w:rPr>
        <w:t xml:space="preserve">Magnetic stripe transactions in India are disabled; only chip transactions permitted.</w:t>
      </w:r>
    </w:p>
    <w:p>
      <w:pPr>
        <w:pStyle w:val="ListParagraph"/>
        <w:numPr>
          <w:ilvl w:val="0"/>
          <w:numId w:val="2"/>
        </w:numPr>
      </w:pPr>
      <w:r>
        <w:rPr>
          <w:sz w:val="22"/>
          <w:szCs w:val="22"/>
        </w:rPr>
        <w:t xml:space="preserve">3D Secure (OTP-based) authentication is mandatory for all online transactions in India.</w:t>
      </w:r>
    </w:p>
    <w:p>
      <w:pPr>
        <w:pStyle w:val="ListParagraph"/>
        <w:numPr>
          <w:ilvl w:val="0"/>
          <w:numId w:val="2"/>
        </w:numPr>
      </w:pPr>
      <w:r>
        <w:rPr>
          <w:sz w:val="22"/>
          <w:szCs w:val="22"/>
        </w:rPr>
        <w:t xml:space="preserve">Cards are tokenized on approved digital wallets (per RBI tokenization guidelines).</w:t>
      </w:r>
    </w:p>
    <w:p>
      <w:r>
        <w:t xml:space="preserve"/>
      </w:r>
    </w:p>
    <w:p>
      <w:pPr>
        <w:pStyle w:val="Heading2"/>
      </w:pPr>
      <w:r>
        <w:rPr>
          <w:b/>
          <w:bCs/>
          <w:sz w:val="24"/>
          <w:szCs w:val="24"/>
        </w:rPr>
        <w:t xml:space="preserve">9. Lost / Stolen Card Reporting</w:t>
      </w:r>
    </w:p>
    <w:p>
      <w:r>
        <w:rPr>
          <w:sz w:val="22"/>
          <w:szCs w:val="22"/>
        </w:rPr>
        <w:t xml:space="preserve">Customers must report lost or stolen cards immediately to limit liability. Reporting channels: 24x7 customer care number; mobile banking app (instant block); internet banking. The Bank shall block the card immediately upon receiving the report. A replacement card is issued within 5 working days. Customer liability is determined per RBI's limited liability framework (zero liability for fraud reported immediately if not due to customer negligence).</w:t>
      </w:r>
    </w:p>
    <w:p>
      <w:r>
        <w:t xml:space="preserve"/>
      </w:r>
    </w:p>
    <w:p>
      <w:pPr>
        <w:pStyle w:val="Heading2"/>
      </w:pPr>
      <w:r>
        <w:rPr>
          <w:b/>
          <w:bCs/>
          <w:sz w:val="24"/>
          <w:szCs w:val="24"/>
        </w:rPr>
        <w:t xml:space="preserve">10. Contactless Payments</w:t>
      </w:r>
    </w:p>
    <w:p>
      <w:r>
        <w:rPr>
          <w:sz w:val="22"/>
          <w:szCs w:val="22"/>
        </w:rPr>
        <w:t xml:space="preserve">Contactless (NFC) payments are enabled by default up to INR 5,000 per transaction without PIN. The daily contactless limit without PIN is INR 5,000. Transactions above INR 5,000 require PIN entry even on contactless-enabled terminals. Customers may disable contactless functionality via mobile banking.</w:t>
      </w:r>
    </w:p>
    <w:p>
      <w:r>
        <w:t xml:space="preserve"/>
      </w:r>
    </w:p>
    <w:p>
      <w:pPr>
        <w:pStyle w:val="Heading2"/>
      </w:pPr>
      <w:r>
        <w:rPr>
          <w:b/>
          <w:bCs/>
          <w:sz w:val="24"/>
          <w:szCs w:val="24"/>
        </w:rPr>
        <w:t xml:space="preserve">11. Card Tokenisation</w:t>
      </w:r>
    </w:p>
    <w:p>
      <w:r>
        <w:rPr>
          <w:sz w:val="22"/>
          <w:szCs w:val="22"/>
        </w:rPr>
        <w:t xml:space="preserve">In line with RBI's tokenisation mandate, the Bank supports card-on-file tokenisation with approved payment aggregators and merchant networks. Actual card details are not stored by merchants; a unique token is used for recurring and saved-card transactions.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2026-05-09T07:00:36.983Z</dcterms:created>
  <dcterms:modified xsi:type="dcterms:W3CDTF">2026-05-09T07:00:36.983Z</dcterms:modified>
</cp:coreProperties>
</file>

<file path=docProps/custom.xml><?xml version="1.0" encoding="utf-8"?>
<Properties xmlns="http://schemas.openxmlformats.org/officeDocument/2006/custom-properties" xmlns:vt="http://schemas.openxmlformats.org/officeDocument/2006/docPropsVTypes"/>
</file>