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International Remittance Policy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International Remittance Policy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POL-2635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 April 2025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Owner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Head – Trade Finance &amp; Remittances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Treasury &amp; International Banking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 Risk &amp; Compliance Committee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– Restricted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Purpose</w:t>
      </w:r>
    </w:p>
    <w:p>
      <w:r>
        <w:rPr>
          <w:sz w:val="22"/>
          <w:szCs w:val="22"/>
        </w:rPr>
        <w:t xml:space="preserve">This policy governs outward and inward international remittances processed by the Bank under the Foreign Exchange Management Act, 1999 (FEMA), RBI Liberalised Remittance Scheme (LRS), and associated regulations.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Regulatory Basis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Foreign Exchange Management Act, 1999 (FEMA)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FEMA (Current Account Transactions) Rules, 2000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RBI Master Direction – Liberalised Remittance Scheme, 2016 (as updated)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RBI Master Direction on Money Transfer Service Scheme (MTSS)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Prevention of Money Laundering Act, 2002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Income Tax Act, 1961 – Section 206C(1G) (TCS on LRS remittances)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Liberalised Remittance Scheme (LRS)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3.1 Eligible Persons</w:t>
      </w:r>
    </w:p>
    <w:p>
      <w:r>
        <w:rPr>
          <w:sz w:val="22"/>
          <w:szCs w:val="22"/>
        </w:rPr>
        <w:t xml:space="preserve">All resident individuals including minors (through natural/legal guardians) are eligible to remit up to USD 250,000 (or equivalent) per financial year under LRS for permissible purposes.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3.2 Permissible Purposes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Education and medical treatment abroad.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Travel (personal, business, pilgrimage).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Gifts and donations.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Maintenance of close relatives abroad.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Investment in overseas shares, securities, mutual funds, and real estate.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Opening and maintenance of foreign currency accounts abroad.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3.3 Prohibited Purposes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Purchase of lottery tickets, sweepstakes, prohibited magazines.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in foreign exchange for margin calls or purchase of derivatives in jurisdictions where it is not permitted.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Remittances to countries notified by the Government as non-cooperative jurisdictions.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Remittances to companies identified as shell companies.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Tax Collected at Source (TCS) on LRS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Remittance Purpose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TCS Rate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Education loan remittance (through financial institution)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Above INR 7 lakh per year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Education / Medical (own funds)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Above INR 7 lakh per year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Travel (tour package)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Nil (applicable on full amount from ₹1)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Other LRS purposes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Above INR 7 lakh per year</w:t>
            </w:r>
          </w:p>
        </w:tc>
      </w:tr>
    </w:tbl>
    <w:p>
      <w:r>
        <w:rPr>
          <w:sz w:val="22"/>
          <w:szCs w:val="22"/>
        </w:rPr>
        <w:t xml:space="preserve">TCS rates are as per Finance Act 2023. The Bank is responsible for collecting TCS on eligible transactions and depositing with the Government.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 Documentation</w:t>
      </w:r>
    </w:p>
    <w:p>
      <w:r>
        <w:rPr>
          <w:sz w:val="22"/>
          <w:szCs w:val="22"/>
        </w:rPr>
        <w:t xml:space="preserve">Outward remittance requires: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A2 Form (Declaration for Outward Remittance) signed by the customer.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Purpose-specific supporting documents (admission letter for education; medical certificate; invoice for imports).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PAN for transactions above INR 25,000.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Current KYC on record with the Bank.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 SWIFT-Based Corporate Remittances</w:t>
      </w:r>
    </w:p>
    <w:p>
      <w:r>
        <w:rPr>
          <w:sz w:val="22"/>
          <w:szCs w:val="22"/>
        </w:rPr>
        <w:t xml:space="preserve">Corporate remittances under trade transactions (import payments, advance payments, royalties) are processed via SWIFT. Requirements: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Import documentation (Bill of Lading, Invoice, Packing List) must be submitted within 6 months of remittance for advance payments.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Trade transactions must comply with FEMA regulations including the AD Category I bank's reporting obligations.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SWIFT charges are passed on to customers as per Schedule of Charges or as negotiated under corporate agreements.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 Inward Remittances</w:t>
      </w:r>
    </w:p>
    <w:p>
      <w:r>
        <w:rPr>
          <w:sz w:val="22"/>
          <w:szCs w:val="22"/>
        </w:rPr>
        <w:t xml:space="preserve">Inward remittances are credited to the beneficiary's account in INR at the prevailing exchange rate. The Bank must: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Obtain FIRC (Foreign Inward Remittance Certificate) details and issue FIRCs to customers on request.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 inward remittances to RBI under the relevant reporting system (FETERS).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Apply AML screening on all inward remittances above USD 15,000 or equivalent.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8. Money Transfer Service Scheme (MTSS)</w:t>
      </w:r>
    </w:p>
    <w:p>
      <w:r>
        <w:rPr>
          <w:sz w:val="22"/>
          <w:szCs w:val="22"/>
        </w:rPr>
        <w:t xml:space="preserve">The Bank may participate in MTSS as an Indian Agent for inward personal remittances from individuals abroad to beneficiaries in India. MTSS limitations: only inward personal remittances; maximum USD 2,500 per transaction; maximum 30 transactions per year per beneficiary.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9. AML Obligations</w:t>
      </w:r>
    </w:p>
    <w:p>
      <w:r>
        <w:rPr>
          <w:sz w:val="22"/>
          <w:szCs w:val="22"/>
        </w:rPr>
        <w:t xml:space="preserve">All international remittances are screened against: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OFAC SDN list and OFAC country sanctions.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 Security Council Consolidated List.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HM Treasury Consolidated List.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Domestic PEP and adverse media databases.</w:t>
      </w:r>
    </w:p>
    <w:p>
      <w:r>
        <w:rPr>
          <w:sz w:val="22"/>
          <w:szCs w:val="22"/>
        </w:rPr>
        <w:t xml:space="preserve">Transactions to high-risk jurisdictions (FATF grey list or black list) are subject to enhanced due diligence and may require CCO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2026-05-09T07:00:37.032Z</dcterms:created>
  <dcterms:modified xsi:type="dcterms:W3CDTF">2026-05-09T07:00:37.032Z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