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28"/>
          <w:szCs w:val="28"/>
        </w:rPr>
        <w:t xml:space="preserve">Loan Eligibility Validation Policy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Field</w:t>
            </w:r>
          </w:p>
        </w:tc>
        <w:tc>
          <w:tcPr>
            <w:tcW w:type="dxa" w:w="63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Details</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Document Title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Loan Eligibility Validation Policy</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Policy Number</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POL-CRED-007</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Version</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1.0</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Effective Date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01 April 2025</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Review Cycle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Annual</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Policy Owner</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Chief Credit Officer</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Department</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Retail &amp; MSME Credit</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Approved By</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Board Risk &amp; Compliance Committee</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Classification</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Internal – Restricted</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Linked Policies</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Retail Credit Policy, Personal Loan Policy, Home Loan Policy, Credit Card Policy, MSME Lending Policy, KYC Policy, NPA Management Policy</w:t>
            </w:r>
          </w:p>
        </w:tc>
      </w:tr>
    </w:tbl>
    <w:p>
      <w:r>
        <w:t xml:space="preserve"/>
      </w:r>
    </w:p>
    <w:p>
      <w:pPr>
        <w:pStyle w:val="Heading2"/>
      </w:pPr>
      <w:r>
        <w:rPr>
          <w:b/>
          <w:bCs/>
          <w:sz w:val="24"/>
          <w:szCs w:val="24"/>
        </w:rPr>
        <w:t xml:space="preserve">1. Purpose</w:t>
      </w:r>
    </w:p>
    <w:p>
      <w:r>
        <w:rPr>
          <w:sz w:val="22"/>
          <w:szCs w:val="22"/>
        </w:rPr>
        <w:t xml:space="preserve">This policy defines the structured validation process the Bank must follow to determine a customer's eligibility for any loan product before a credit decision is made. It establishes the mandatory checks, the sequence in which they must be performed, the criteria that constitute pass or fail at each gate, and the actions to be taken when a customer fails or partially meets eligibility conditions.</w:t>
      </w:r>
    </w:p>
    <w:p>
      <w:r>
        <w:rPr>
          <w:sz w:val="22"/>
          <w:szCs w:val="22"/>
        </w:rPr>
        <w:t xml:space="preserve">This policy is a pre-sanction gate control. A loan application must not proceed to credit appraisal, underwriting, or approval unless it has cleared all applicable eligibility gates defined herein.</w:t>
      </w:r>
    </w:p>
    <w:p>
      <w:r>
        <w:t xml:space="preserve"/>
      </w:r>
    </w:p>
    <w:p>
      <w:pPr>
        <w:pStyle w:val="Heading2"/>
      </w:pPr>
      <w:r>
        <w:rPr>
          <w:b/>
          <w:bCs/>
          <w:sz w:val="24"/>
          <w:szCs w:val="24"/>
        </w:rPr>
        <w:t xml:space="preserve">2. Scope</w:t>
      </w:r>
    </w:p>
    <w:p>
      <w:r>
        <w:rPr>
          <w:sz w:val="22"/>
          <w:szCs w:val="22"/>
        </w:rPr>
        <w:t xml:space="preserve">This policy applies to all retail and MSME loan products including personal loans, home loans, vehicle loans, education loans, business loans, gold loans, and credit card applications. It applies across all origination channels: branch, digital, direct sales agent (DSA), and business correspondent (BC).</w:t>
      </w:r>
    </w:p>
    <w:p>
      <w:r>
        <w:t xml:space="preserve"/>
      </w:r>
    </w:p>
    <w:p>
      <w:pPr>
        <w:pStyle w:val="Heading2"/>
      </w:pPr>
      <w:r>
        <w:rPr>
          <w:b/>
          <w:bCs/>
          <w:sz w:val="24"/>
          <w:szCs w:val="24"/>
        </w:rPr>
        <w:t xml:space="preserve">3. Eligibility Validation Framework</w:t>
      </w:r>
    </w:p>
    <w:p>
      <w:r>
        <w:rPr>
          <w:sz w:val="22"/>
          <w:szCs w:val="22"/>
        </w:rPr>
        <w:t xml:space="preserve">Loan eligibility validation is structured as a sequential gate process. Each gate must be cleared before the next is evaluated. A hard fail at any gate results in immediate decline. A conditional outcome at a gate is subject to override rules defined in Section 9.</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c>
          <w:tcPr>
            <w:tcW w:type="dxa" w:w="10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Gate</w:t>
            </w:r>
          </w:p>
        </w:tc>
        <w:tc>
          <w:tcPr>
            <w:tcW w:type="dxa" w:w="40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Validation Area</w:t>
            </w:r>
          </w:p>
        </w:tc>
        <w:tc>
          <w:tcPr>
            <w:tcW w:type="dxa" w:w="43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Outcome Type</w:t>
            </w:r>
          </w:p>
        </w:tc>
      </w:tr>
      <w:tr>
        <w:tc>
          <w:tcPr>
            <w:tcW w:type="dxa" w:w="1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Gate 1</w:t>
            </w:r>
          </w:p>
        </w:tc>
        <w:tc>
          <w:tcPr>
            <w:tcW w:type="dxa" w:w="4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Customer Identity and KYC Status</w:t>
            </w:r>
          </w:p>
        </w:tc>
        <w:tc>
          <w:tcPr>
            <w:tcW w:type="dxa" w:w="4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Hard Pass / Hard Fail</w:t>
            </w:r>
          </w:p>
        </w:tc>
      </w:tr>
      <w:tr>
        <w:tc>
          <w:tcPr>
            <w:tcW w:type="dxa" w:w="1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Gate 2</w:t>
            </w:r>
          </w:p>
        </w:tc>
        <w:tc>
          <w:tcPr>
            <w:tcW w:type="dxa" w:w="4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Negative Profile Check</w:t>
            </w:r>
          </w:p>
        </w:tc>
        <w:tc>
          <w:tcPr>
            <w:tcW w:type="dxa" w:w="4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Hard Pass / Hard Fail</w:t>
            </w:r>
          </w:p>
        </w:tc>
      </w:tr>
      <w:tr>
        <w:tc>
          <w:tcPr>
            <w:tcW w:type="dxa" w:w="1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Gate 3</w:t>
            </w:r>
          </w:p>
        </w:tc>
        <w:tc>
          <w:tcPr>
            <w:tcW w:type="dxa" w:w="4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Basic Eligibility (Age, Residency, Employment)</w:t>
            </w:r>
          </w:p>
        </w:tc>
        <w:tc>
          <w:tcPr>
            <w:tcW w:type="dxa" w:w="4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Hard Pass / Hard Fail</w:t>
            </w:r>
          </w:p>
        </w:tc>
      </w:tr>
      <w:tr>
        <w:tc>
          <w:tcPr>
            <w:tcW w:type="dxa" w:w="1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Gate 4</w:t>
            </w:r>
          </w:p>
        </w:tc>
        <w:tc>
          <w:tcPr>
            <w:tcW w:type="dxa" w:w="4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Credit Bureau Assessment</w:t>
            </w:r>
          </w:p>
        </w:tc>
        <w:tc>
          <w:tcPr>
            <w:tcW w:type="dxa" w:w="4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Hard Pass / Conditional / Hard Fail</w:t>
            </w:r>
          </w:p>
        </w:tc>
      </w:tr>
      <w:tr>
        <w:tc>
          <w:tcPr>
            <w:tcW w:type="dxa" w:w="1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Gate 5</w:t>
            </w:r>
          </w:p>
        </w:tc>
        <w:tc>
          <w:tcPr>
            <w:tcW w:type="dxa" w:w="4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Income and Repayment Capacity</w:t>
            </w:r>
          </w:p>
        </w:tc>
        <w:tc>
          <w:tcPr>
            <w:tcW w:type="dxa" w:w="4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Hard Pass / Conditional / Hard Fail</w:t>
            </w:r>
          </w:p>
        </w:tc>
      </w:tr>
      <w:tr>
        <w:tc>
          <w:tcPr>
            <w:tcW w:type="dxa" w:w="1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Gate 6</w:t>
            </w:r>
          </w:p>
        </w:tc>
        <w:tc>
          <w:tcPr>
            <w:tcW w:type="dxa" w:w="4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Fixed Obligation to Income Ratio (FOIR)</w:t>
            </w:r>
          </w:p>
        </w:tc>
        <w:tc>
          <w:tcPr>
            <w:tcW w:type="dxa" w:w="4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Hard Pass / Conditional / Hard Fail</w:t>
            </w:r>
          </w:p>
        </w:tc>
      </w:tr>
      <w:tr>
        <w:tc>
          <w:tcPr>
            <w:tcW w:type="dxa" w:w="1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Gate 7</w:t>
            </w:r>
          </w:p>
        </w:tc>
        <w:tc>
          <w:tcPr>
            <w:tcW w:type="dxa" w:w="4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Product-Specific Parameters</w:t>
            </w:r>
          </w:p>
        </w:tc>
        <w:tc>
          <w:tcPr>
            <w:tcW w:type="dxa" w:w="4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Hard Pass / Hard Fail</w:t>
            </w:r>
          </w:p>
        </w:tc>
      </w:tr>
      <w:tr>
        <w:tc>
          <w:tcPr>
            <w:tcW w:type="dxa" w:w="1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Gate 8</w:t>
            </w:r>
          </w:p>
        </w:tc>
        <w:tc>
          <w:tcPr>
            <w:tcW w:type="dxa" w:w="4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Compliance and Regulatory Checks</w:t>
            </w:r>
          </w:p>
        </w:tc>
        <w:tc>
          <w:tcPr>
            <w:tcW w:type="dxa" w:w="4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Hard Pass / Hard Fail</w:t>
            </w:r>
          </w:p>
        </w:tc>
      </w:tr>
    </w:tbl>
    <w:p>
      <w:r>
        <w:t xml:space="preserve"/>
      </w:r>
    </w:p>
    <w:p>
      <w:pPr>
        <w:pStyle w:val="Heading2"/>
      </w:pPr>
      <w:r>
        <w:rPr>
          <w:b/>
          <w:bCs/>
          <w:sz w:val="24"/>
          <w:szCs w:val="24"/>
        </w:rPr>
        <w:t xml:space="preserve">4. Gate 1 – Customer Identity and KYC Status</w:t>
      </w:r>
    </w:p>
    <w:p>
      <w:r>
        <w:rPr>
          <w:sz w:val="22"/>
          <w:szCs w:val="22"/>
        </w:rPr>
        <w:t xml:space="preserve">Before any credit evaluation begins, the applicant's identity and KYC status must be confirmed.</w:t>
      </w:r>
    </w:p>
    <w:p>
      <w:r>
        <w:t xml:space="preserve"/>
      </w:r>
    </w:p>
    <w:p>
      <w:pPr>
        <w:pStyle w:val="Heading3"/>
      </w:pPr>
      <w:r>
        <w:rPr>
          <w:b/>
          <w:bCs/>
          <w:sz w:val="22"/>
          <w:szCs w:val="22"/>
        </w:rPr>
        <w:t xml:space="preserve">4.1 Checks</w:t>
      </w:r>
    </w:p>
    <w:p>
      <w:pPr>
        <w:pStyle w:val="ListParagraph"/>
        <w:numPr>
          <w:ilvl w:val="0"/>
          <w:numId w:val="2"/>
        </w:numPr>
      </w:pPr>
      <w:r>
        <w:rPr>
          <w:sz w:val="22"/>
          <w:szCs w:val="22"/>
        </w:rPr>
        <w:t xml:space="preserve">Customer must be identifiable with a valid Officially Valid Document (OVD) as defined under PMLA Rules.</w:t>
      </w:r>
    </w:p>
    <w:p>
      <w:pPr>
        <w:pStyle w:val="ListParagraph"/>
        <w:numPr>
          <w:ilvl w:val="0"/>
          <w:numId w:val="2"/>
        </w:numPr>
      </w:pPr>
      <w:r>
        <w:rPr>
          <w:sz w:val="22"/>
          <w:szCs w:val="22"/>
        </w:rPr>
        <w:t xml:space="preserve">For existing customers: KYC must be current and within the applicable refresh period for the customer's risk category (Low: 10 years; Medium: 8 years; High: 2 years).</w:t>
      </w:r>
    </w:p>
    <w:p>
      <w:pPr>
        <w:pStyle w:val="ListParagraph"/>
        <w:numPr>
          <w:ilvl w:val="0"/>
          <w:numId w:val="2"/>
        </w:numPr>
      </w:pPr>
      <w:r>
        <w:rPr>
          <w:sz w:val="22"/>
          <w:szCs w:val="22"/>
        </w:rPr>
        <w:t xml:space="preserve">For new customers: KYC must be completed and CIF created before loan processing begins.</w:t>
      </w:r>
    </w:p>
    <w:p>
      <w:pPr>
        <w:pStyle w:val="ListParagraph"/>
        <w:numPr>
          <w:ilvl w:val="0"/>
          <w:numId w:val="2"/>
        </w:numPr>
      </w:pPr>
      <w:r>
        <w:rPr>
          <w:sz w:val="22"/>
          <w:szCs w:val="22"/>
        </w:rPr>
        <w:t xml:space="preserve">PAN or Form 60 must be available on record.</w:t>
      </w:r>
    </w:p>
    <w:p>
      <w:r>
        <w:t xml:space="preserve"/>
      </w:r>
    </w:p>
    <w:p>
      <w:pPr>
        <w:pStyle w:val="Heading3"/>
      </w:pPr>
      <w:r>
        <w:rPr>
          <w:b/>
          <w:bCs/>
          <w:sz w:val="22"/>
          <w:szCs w:val="22"/>
        </w:rPr>
        <w:t xml:space="preserve">4.2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Condition</w:t>
            </w:r>
          </w:p>
        </w:tc>
        <w:tc>
          <w:tcPr>
            <w:tcW w:type="dxa" w:w="43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Outcome</w:t>
            </w:r>
          </w:p>
        </w:tc>
      </w:tr>
      <w:tr>
        <w:tc>
          <w:tcPr>
            <w:tcW w:type="dxa" w:w="5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KYC complete and current</w:t>
            </w:r>
          </w:p>
        </w:tc>
        <w:tc>
          <w:tcPr>
            <w:tcW w:type="dxa" w:w="4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Pass – proceed to Gate 2</w:t>
            </w:r>
          </w:p>
        </w:tc>
      </w:tr>
      <w:tr>
        <w:tc>
          <w:tcPr>
            <w:tcW w:type="dxa" w:w="5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KYC incomplete or expired</w:t>
            </w:r>
          </w:p>
        </w:tc>
        <w:tc>
          <w:tcPr>
            <w:tcW w:type="dxa" w:w="4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Fail – application held; customer notified to complete KYC before resubmission</w:t>
            </w:r>
          </w:p>
        </w:tc>
      </w:tr>
      <w:tr>
        <w:tc>
          <w:tcPr>
            <w:tcW w:type="dxa" w:w="5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Customer identity cannot be verified</w:t>
            </w:r>
          </w:p>
        </w:tc>
        <w:tc>
          <w:tcPr>
            <w:tcW w:type="dxa" w:w="4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Hard Fail – application declined; do not proceed</w:t>
            </w:r>
          </w:p>
        </w:tc>
      </w:tr>
    </w:tbl>
    <w:p>
      <w:r>
        <w:t xml:space="preserve"/>
      </w:r>
    </w:p>
    <w:p>
      <w:pPr>
        <w:pStyle w:val="Heading2"/>
      </w:pPr>
      <w:r>
        <w:rPr>
          <w:b/>
          <w:bCs/>
          <w:sz w:val="24"/>
          <w:szCs w:val="24"/>
        </w:rPr>
        <w:t xml:space="preserve">5. Gate 2 – Negative Profile Check</w:t>
      </w:r>
    </w:p>
    <w:p>
      <w:r>
        <w:rPr>
          <w:sz w:val="22"/>
          <w:szCs w:val="22"/>
        </w:rPr>
        <w:t xml:space="preserve">This gate screens the applicant against internal and external negative lists. It must be completed before any financial assessment.</w:t>
      </w:r>
    </w:p>
    <w:p>
      <w:r>
        <w:t xml:space="preserve"/>
      </w:r>
    </w:p>
    <w:p>
      <w:pPr>
        <w:pStyle w:val="Heading3"/>
      </w:pPr>
      <w:r>
        <w:rPr>
          <w:b/>
          <w:bCs/>
          <w:sz w:val="22"/>
          <w:szCs w:val="22"/>
        </w:rPr>
        <w:t xml:space="preserve">5.1 Checks</w:t>
      </w:r>
    </w:p>
    <w:p>
      <w:pPr>
        <w:pStyle w:val="ListParagraph"/>
        <w:numPr>
          <w:ilvl w:val="0"/>
          <w:numId w:val="2"/>
        </w:numPr>
      </w:pPr>
      <w:r>
        <w:rPr>
          <w:sz w:val="22"/>
          <w:szCs w:val="22"/>
        </w:rPr>
        <w:t xml:space="preserve">Internal defaulter list: any prior loan account with the Bank classified as NPA, written-off, or suit-filed.</w:t>
      </w:r>
    </w:p>
    <w:p>
      <w:pPr>
        <w:pStyle w:val="ListParagraph"/>
        <w:numPr>
          <w:ilvl w:val="0"/>
          <w:numId w:val="2"/>
        </w:numPr>
      </w:pPr>
      <w:r>
        <w:rPr>
          <w:sz w:val="22"/>
          <w:szCs w:val="22"/>
        </w:rPr>
        <w:t xml:space="preserve">Wilful defaulter list: RBI/CIBIL wilful defaulter database.</w:t>
      </w:r>
    </w:p>
    <w:p>
      <w:pPr>
        <w:pStyle w:val="ListParagraph"/>
        <w:numPr>
          <w:ilvl w:val="0"/>
          <w:numId w:val="2"/>
        </w:numPr>
      </w:pPr>
      <w:r>
        <w:rPr>
          <w:sz w:val="22"/>
          <w:szCs w:val="22"/>
        </w:rPr>
        <w:t xml:space="preserve">Fraud list: internal fraud registry; CIBIL fraud alert.</w:t>
      </w:r>
    </w:p>
    <w:p>
      <w:pPr>
        <w:pStyle w:val="ListParagraph"/>
        <w:numPr>
          <w:ilvl w:val="0"/>
          <w:numId w:val="2"/>
        </w:numPr>
      </w:pPr>
      <w:r>
        <w:rPr>
          <w:sz w:val="22"/>
          <w:szCs w:val="22"/>
        </w:rPr>
        <w:t xml:space="preserve">Sanctions screening: OFAC SDN list, UN Security Council Consolidated List, RBI domestic list.</w:t>
      </w:r>
    </w:p>
    <w:p>
      <w:pPr>
        <w:pStyle w:val="ListParagraph"/>
        <w:numPr>
          <w:ilvl w:val="0"/>
          <w:numId w:val="2"/>
        </w:numPr>
      </w:pPr>
      <w:r>
        <w:rPr>
          <w:sz w:val="22"/>
          <w:szCs w:val="22"/>
        </w:rPr>
        <w:t xml:space="preserve">Court orders: any existing court order restraining the applicant from obtaining credit.</w:t>
      </w:r>
    </w:p>
    <w:p>
      <w:r>
        <w:t xml:space="preserve"/>
      </w:r>
    </w:p>
    <w:p>
      <w:pPr>
        <w:pStyle w:val="Heading3"/>
      </w:pPr>
      <w:r>
        <w:rPr>
          <w:b/>
          <w:bCs/>
          <w:sz w:val="22"/>
          <w:szCs w:val="22"/>
        </w:rPr>
        <w:t xml:space="preserve">5.2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Condition</w:t>
            </w:r>
          </w:p>
        </w:tc>
        <w:tc>
          <w:tcPr>
            <w:tcW w:type="dxa" w:w="43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Outcome</w:t>
            </w:r>
          </w:p>
        </w:tc>
      </w:tr>
      <w:tr>
        <w:tc>
          <w:tcPr>
            <w:tcW w:type="dxa" w:w="5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No match on any list</w:t>
            </w:r>
          </w:p>
        </w:tc>
        <w:tc>
          <w:tcPr>
            <w:tcW w:type="dxa" w:w="4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Pass – proceed to Gate 3</w:t>
            </w:r>
          </w:p>
        </w:tc>
      </w:tr>
      <w:tr>
        <w:tc>
          <w:tcPr>
            <w:tcW w:type="dxa" w:w="5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Match on wilful defaulter or fraud list</w:t>
            </w:r>
          </w:p>
        </w:tc>
        <w:tc>
          <w:tcPr>
            <w:tcW w:type="dxa" w:w="4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Hard Fail – decline immediately; do not disclose list details to applicant</w:t>
            </w:r>
          </w:p>
        </w:tc>
      </w:tr>
      <w:tr>
        <w:tc>
          <w:tcPr>
            <w:tcW w:type="dxa" w:w="5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Match on sanctions list</w:t>
            </w:r>
          </w:p>
        </w:tc>
        <w:tc>
          <w:tcPr>
            <w:tcW w:type="dxa" w:w="4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Hard Fail – decline; flag to Compliance for STR assessment</w:t>
            </w:r>
          </w:p>
        </w:tc>
      </w:tr>
      <w:tr>
        <w:tc>
          <w:tcPr>
            <w:tcW w:type="dxa" w:w="5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Match on internal NPA/write-off (settled)</w:t>
            </w:r>
          </w:p>
        </w:tc>
        <w:tc>
          <w:tcPr>
            <w:tcW w:type="dxa" w:w="4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Conditional – refer to Credit Manager for review; may proceed with justification</w:t>
            </w:r>
          </w:p>
        </w:tc>
      </w:tr>
    </w:tbl>
    <w:p>
      <w:r>
        <w:t xml:space="preserve"/>
      </w:r>
    </w:p>
    <w:p>
      <w:pPr>
        <w:pStyle w:val="Heading2"/>
      </w:pPr>
      <w:r>
        <w:rPr>
          <w:b/>
          <w:bCs/>
          <w:sz w:val="24"/>
          <w:szCs w:val="24"/>
        </w:rPr>
        <w:t xml:space="preserve">6. Gate 3 – Basic Eligibility</w:t>
      </w:r>
    </w:p>
    <w:p>
      <w:r>
        <w:rPr>
          <w:sz w:val="22"/>
          <w:szCs w:val="22"/>
        </w:rPr>
        <w:t xml:space="preserve">This gate confirms the applicant meets the fundamental eligibility criteria for the product applied for.</w:t>
      </w:r>
    </w:p>
    <w:p>
      <w:r>
        <w:t xml:space="preserve"/>
      </w:r>
    </w:p>
    <w:p>
      <w:pPr>
        <w:pStyle w:val="Heading3"/>
      </w:pPr>
      <w:r>
        <w:rPr>
          <w:b/>
          <w:bCs/>
          <w:sz w:val="22"/>
          <w:szCs w:val="22"/>
        </w:rPr>
        <w:t xml:space="preserve">6.1 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Product</w:t>
            </w:r>
          </w:p>
        </w:tc>
        <w:tc>
          <w:tcPr>
            <w:tcW w:type="dxa" w:w="20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Minimum Age</w:t>
            </w:r>
          </w:p>
        </w:tc>
        <w:tc>
          <w:tcPr>
            <w:tcW w:type="dxa" w:w="48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Maximum Age at Loan Maturity</w:t>
            </w:r>
          </w:p>
        </w:tc>
      </w:tr>
      <w:tr>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Personal Loan</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21 years</w:t>
            </w:r>
          </w:p>
        </w:tc>
        <w:tc>
          <w:tcPr>
            <w:tcW w:type="dxa" w:w="4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60 years (salaried); 65 years (self-employed)</w:t>
            </w:r>
          </w:p>
        </w:tc>
      </w:tr>
      <w:tr>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Home Loan</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21 years</w:t>
            </w:r>
          </w:p>
        </w:tc>
        <w:tc>
          <w:tcPr>
            <w:tcW w:type="dxa" w:w="4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70 years</w:t>
            </w:r>
          </w:p>
        </w:tc>
      </w:tr>
      <w:tr>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Vehicle Loan</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21 years</w:t>
            </w:r>
          </w:p>
        </w:tc>
        <w:tc>
          <w:tcPr>
            <w:tcW w:type="dxa" w:w="4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65 years</w:t>
            </w:r>
          </w:p>
        </w:tc>
      </w:tr>
      <w:tr>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Business / MSME Loan</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21 years</w:t>
            </w:r>
          </w:p>
        </w:tc>
        <w:tc>
          <w:tcPr>
            <w:tcW w:type="dxa" w:w="4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65 years</w:t>
            </w:r>
          </w:p>
        </w:tc>
      </w:tr>
      <w:tr>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Education Loan</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18 years (student); co-applicant age norms apply</w:t>
            </w:r>
          </w:p>
        </w:tc>
        <w:tc>
          <w:tcPr>
            <w:tcW w:type="dxa" w:w="4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N/A</w:t>
            </w:r>
          </w:p>
        </w:tc>
      </w:tr>
      <w:tr>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Credit Card</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18 years</w:t>
            </w:r>
          </w:p>
        </w:tc>
        <w:tc>
          <w:tcPr>
            <w:tcW w:type="dxa" w:w="4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No upper limit (subject to income)</w:t>
            </w:r>
          </w:p>
        </w:tc>
      </w:tr>
    </w:tbl>
    <w:p>
      <w:r>
        <w:t xml:space="preserve"/>
      </w:r>
    </w:p>
    <w:p>
      <w:pPr>
        <w:pStyle w:val="Heading3"/>
      </w:pPr>
      <w:r>
        <w:rPr>
          <w:b/>
          <w:bCs/>
          <w:sz w:val="22"/>
          <w:szCs w:val="22"/>
        </w:rPr>
        <w:t xml:space="preserve">6.2 Residency and Nationality</w:t>
      </w:r>
    </w:p>
    <w:p>
      <w:pPr>
        <w:pStyle w:val="ListParagraph"/>
        <w:numPr>
          <w:ilvl w:val="0"/>
          <w:numId w:val="2"/>
        </w:numPr>
      </w:pPr>
      <w:r>
        <w:rPr>
          <w:sz w:val="22"/>
          <w:szCs w:val="22"/>
        </w:rPr>
        <w:t xml:space="preserve">Resident Indians are eligible for all products.</w:t>
      </w:r>
    </w:p>
    <w:p>
      <w:pPr>
        <w:pStyle w:val="ListParagraph"/>
        <w:numPr>
          <w:ilvl w:val="0"/>
          <w:numId w:val="2"/>
        </w:numPr>
      </w:pPr>
      <w:r>
        <w:rPr>
          <w:sz w:val="22"/>
          <w:szCs w:val="22"/>
        </w:rPr>
        <w:t xml:space="preserve">Non-Resident Indians (NRIs) are eligible for home loans and select products only, under NRI-specific product guidelines. NRI applicants must be processed under a separate NRI credit framework.</w:t>
      </w:r>
    </w:p>
    <w:p>
      <w:pPr>
        <w:pStyle w:val="ListParagraph"/>
        <w:numPr>
          <w:ilvl w:val="0"/>
          <w:numId w:val="2"/>
        </w:numPr>
      </w:pPr>
      <w:r>
        <w:rPr>
          <w:sz w:val="22"/>
          <w:szCs w:val="22"/>
        </w:rPr>
        <w:t xml:space="preserve">Foreign nationals resident in India are eligible for personal and home loans subject to valid visa with residency tenure covering the loan repayment period.</w:t>
      </w:r>
    </w:p>
    <w:p>
      <w:r>
        <w:t xml:space="preserve"/>
      </w:r>
    </w:p>
    <w:p>
      <w:pPr>
        <w:pStyle w:val="Heading3"/>
      </w:pPr>
      <w:r>
        <w:rPr>
          <w:b/>
          <w:bCs/>
          <w:sz w:val="22"/>
          <w:szCs w:val="22"/>
        </w:rPr>
        <w:t xml:space="preserve">6.3 Employment / Business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Applicant Type</w:t>
            </w:r>
          </w:p>
        </w:tc>
        <w:tc>
          <w:tcPr>
            <w:tcW w:type="dxa" w:w="58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Minimum Requirement</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Salaried – Private Sector</w:t>
            </w:r>
          </w:p>
        </w:tc>
        <w:tc>
          <w:tcPr>
            <w:tcW w:type="dxa" w:w="5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Confirmed employee; minimum 1 year with current employer; total employment history 2 years</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Salaried – Government / PSU</w:t>
            </w:r>
          </w:p>
        </w:tc>
        <w:tc>
          <w:tcPr>
            <w:tcW w:type="dxa" w:w="5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Permanent employee; minimum 1 year in service</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Self-Employed Professional (doctor, CA, architect)</w:t>
            </w:r>
          </w:p>
        </w:tc>
        <w:tc>
          <w:tcPr>
            <w:tcW w:type="dxa" w:w="5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2 years in current profession with verifiable income (ITR)</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Self-Employed Business Owner</w:t>
            </w:r>
          </w:p>
        </w:tc>
        <w:tc>
          <w:tcPr>
            <w:tcW w:type="dxa" w:w="5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2 years in current business; GST registration where applicable; ITR for 2 years</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MSME Entity</w:t>
            </w:r>
          </w:p>
        </w:tc>
        <w:tc>
          <w:tcPr>
            <w:tcW w:type="dxa" w:w="5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Minimum 2 years operational; Udyam registration; ITR / GST for 2 years</w:t>
            </w:r>
          </w:p>
        </w:tc>
      </w:tr>
    </w:tbl>
    <w:p>
      <w:r>
        <w:t xml:space="preserve"/>
      </w:r>
    </w:p>
    <w:p>
      <w:pPr>
        <w:pStyle w:val="Heading3"/>
      </w:pPr>
      <w:r>
        <w:rPr>
          <w:b/>
          <w:bCs/>
          <w:sz w:val="22"/>
          <w:szCs w:val="22"/>
        </w:rPr>
        <w:t xml:space="preserve">6.4 Outcome</w:t>
      </w:r>
    </w:p>
    <w:p>
      <w:r>
        <w:rPr>
          <w:sz w:val="22"/>
          <w:szCs w:val="22"/>
        </w:rPr>
        <w:t xml:space="preserve">Any hard breach of age, residency, or employment minimum criteria results in a Hard Fail. The application is declined and the customer is informed of the specific criterion not met.</w:t>
      </w:r>
    </w:p>
    <w:p>
      <w:r>
        <w:t xml:space="preserve"/>
      </w:r>
    </w:p>
    <w:p>
      <w:pPr>
        <w:pStyle w:val="Heading2"/>
      </w:pPr>
      <w:r>
        <w:rPr>
          <w:b/>
          <w:bCs/>
          <w:sz w:val="24"/>
          <w:szCs w:val="24"/>
        </w:rPr>
        <w:t xml:space="preserve">7. Gate 4 – Credit Bureau Assessment</w:t>
      </w:r>
    </w:p>
    <w:p>
      <w:r>
        <w:rPr>
          <w:sz w:val="22"/>
          <w:szCs w:val="22"/>
        </w:rPr>
        <w:t xml:space="preserve">A credit bureau report must be obtained from at least one RBI-authorised Credit Information Company (CIC) for every applicant and co-applicant. The bureau check is mandatory and cannot be waived.</w:t>
      </w:r>
    </w:p>
    <w:p>
      <w:r>
        <w:t xml:space="preserve"/>
      </w:r>
    </w:p>
    <w:p>
      <w:pPr>
        <w:pStyle w:val="Heading3"/>
      </w:pPr>
      <w:r>
        <w:rPr>
          <w:b/>
          <w:bCs/>
          <w:sz w:val="22"/>
          <w:szCs w:val="22"/>
        </w:rPr>
        <w:t xml:space="preserve">7.1 Score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Bureau Score Range</w:t>
            </w:r>
          </w:p>
        </w:tc>
        <w:tc>
          <w:tcPr>
            <w:tcW w:type="dxa" w:w="20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Outcome</w:t>
            </w:r>
          </w:p>
        </w:tc>
        <w:tc>
          <w:tcPr>
            <w:tcW w:type="dxa" w:w="48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Action</w:t>
            </w:r>
          </w:p>
        </w:tc>
      </w:tr>
      <w:tr>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750 and above</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Pass</w:t>
            </w:r>
          </w:p>
        </w:tc>
        <w:tc>
          <w:tcPr>
            <w:tcW w:type="dxa" w:w="4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Proceed to Gate 5; standard processing</w:t>
            </w:r>
          </w:p>
        </w:tc>
      </w:tr>
      <w:tr>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720 – 749</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Conditional Pass</w:t>
            </w:r>
          </w:p>
        </w:tc>
        <w:tc>
          <w:tcPr>
            <w:tcW w:type="dxa" w:w="4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Proceed with enhanced income verification; Credit Manager review required</w:t>
            </w:r>
          </w:p>
        </w:tc>
      </w:tr>
      <w:tr>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700 – 719</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Conditional Pass (restricted)</w:t>
            </w:r>
          </w:p>
        </w:tc>
        <w:tc>
          <w:tcPr>
            <w:tcW w:type="dxa" w:w="4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Eligible for secured products only (home loan, gold loan, vehicle loan); unsecured products declined</w:t>
            </w:r>
          </w:p>
        </w:tc>
      </w:tr>
      <w:tr>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Below 700</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Hard Fail</w:t>
            </w:r>
          </w:p>
        </w:tc>
        <w:tc>
          <w:tcPr>
            <w:tcW w:type="dxa" w:w="4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Decline; inform applicant; suggest credit improvement steps</w:t>
            </w:r>
          </w:p>
        </w:tc>
      </w:tr>
      <w:tr>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No bureau history (NTC – New to Credit)</w:t>
            </w:r>
          </w:p>
        </w:tc>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Conditional</w:t>
            </w:r>
          </w:p>
        </w:tc>
        <w:tc>
          <w:tcPr>
            <w:tcW w:type="dxa" w:w="4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Eligible for secured products and MSME loans with alternate assessment; refer to Credit Manager</w:t>
            </w:r>
          </w:p>
        </w:tc>
      </w:tr>
    </w:tbl>
    <w:p>
      <w:r>
        <w:t xml:space="preserve"/>
      </w:r>
    </w:p>
    <w:p>
      <w:pPr>
        <w:pStyle w:val="Heading3"/>
      </w:pPr>
      <w:r>
        <w:rPr>
          <w:b/>
          <w:bCs/>
          <w:sz w:val="22"/>
          <w:szCs w:val="22"/>
        </w:rPr>
        <w:t xml:space="preserve">7.2 Bureau Report Qualitative Checks</w:t>
      </w:r>
    </w:p>
    <w:p>
      <w:r>
        <w:rPr>
          <w:sz w:val="22"/>
          <w:szCs w:val="22"/>
        </w:rPr>
        <w:t xml:space="preserve">Beyond the score, the following must be reviewed in the bureau report:</w:t>
      </w:r>
    </w:p>
    <w:p>
      <w:pPr>
        <w:pStyle w:val="ListParagraph"/>
        <w:numPr>
          <w:ilvl w:val="0"/>
          <w:numId w:val="2"/>
        </w:numPr>
      </w:pPr>
      <w:r>
        <w:rPr>
          <w:sz w:val="22"/>
          <w:szCs w:val="22"/>
        </w:rPr>
        <w:t xml:space="preserve">Days Past Due (DPD): Any DPD greater than 30 in the last 12 months is a Hard Fail for unsecured products. For secured products, DPD greater than 60 in the last 12 months is a Hard Fail.</w:t>
      </w:r>
    </w:p>
    <w:p>
      <w:pPr>
        <w:pStyle w:val="ListParagraph"/>
        <w:numPr>
          <w:ilvl w:val="0"/>
          <w:numId w:val="2"/>
        </w:numPr>
      </w:pPr>
      <w:r>
        <w:rPr>
          <w:sz w:val="22"/>
          <w:szCs w:val="22"/>
        </w:rPr>
        <w:t xml:space="preserve">Active NPA or written-off account: Hard Fail for all products.</w:t>
      </w:r>
    </w:p>
    <w:p>
      <w:pPr>
        <w:pStyle w:val="ListParagraph"/>
        <w:numPr>
          <w:ilvl w:val="0"/>
          <w:numId w:val="2"/>
        </w:numPr>
      </w:pPr>
      <w:r>
        <w:rPr>
          <w:sz w:val="22"/>
          <w:szCs w:val="22"/>
        </w:rPr>
        <w:t xml:space="preserve">Number of enquiries: More than 6 credit enquiries in the last 6 months indicates credit-seeking behavior and must be reviewed by the Credit Manager before proceeding.</w:t>
      </w:r>
    </w:p>
    <w:p>
      <w:pPr>
        <w:pStyle w:val="ListParagraph"/>
        <w:numPr>
          <w:ilvl w:val="0"/>
          <w:numId w:val="2"/>
        </w:numPr>
      </w:pPr>
      <w:r>
        <w:rPr>
          <w:sz w:val="22"/>
          <w:szCs w:val="22"/>
        </w:rPr>
        <w:t xml:space="preserve">Settled accounts: Accounts settled at less than full outstanding value are flagged; Credit Manager must assess before proceeding.</w:t>
      </w:r>
    </w:p>
    <w:p>
      <w:r>
        <w:t xml:space="preserve"/>
      </w:r>
    </w:p>
    <w:p>
      <w:pPr>
        <w:pStyle w:val="Heading2"/>
      </w:pPr>
      <w:r>
        <w:rPr>
          <w:b/>
          <w:bCs/>
          <w:sz w:val="24"/>
          <w:szCs w:val="24"/>
        </w:rPr>
        <w:t xml:space="preserve">8. Gate 5 – Income and Repayment Capacity</w:t>
      </w:r>
    </w:p>
    <w:p>
      <w:r>
        <w:rPr>
          <w:sz w:val="22"/>
          <w:szCs w:val="22"/>
        </w:rPr>
        <w:t xml:space="preserve">The applicant's income must be verified from primary source documents. Estimated or self-declared income without documentation is not acceptable.</w:t>
      </w:r>
    </w:p>
    <w:p>
      <w:r>
        <w:t xml:space="preserve"/>
      </w:r>
    </w:p>
    <w:p>
      <w:pPr>
        <w:pStyle w:val="Heading3"/>
      </w:pPr>
      <w:r>
        <w:rPr>
          <w:b/>
          <w:bCs/>
          <w:sz w:val="22"/>
          <w:szCs w:val="22"/>
        </w:rPr>
        <w:t xml:space="preserve">8.1 Income Verification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Applicant Type</w:t>
            </w:r>
          </w:p>
        </w:tc>
        <w:tc>
          <w:tcPr>
            <w:tcW w:type="dxa" w:w="63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Acceptable Income Evidence</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Salaried</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Last 3 months salary slips; last 6 months bank statements (salary credits visible); Form 16 or latest ITR</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Self-Employed Professional</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Last 2 years ITR with computation; last 6 months bank statements; professional practice proof</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Self-Employed Business</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Last 2 years ITR + audited P&amp;L and Balance Sheet; last 12 months bank statements; GST returns</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MSME Entity</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Last 2 years ITR; GST returns; bank statements 12 months; CMA data for loans above INR 25 lakh</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Pensioner</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Pension payment order; last 6 months bank statements showing pension credit</w:t>
            </w:r>
          </w:p>
        </w:tc>
      </w:tr>
    </w:tbl>
    <w:p>
      <w:r>
        <w:t xml:space="preserve"/>
      </w:r>
    </w:p>
    <w:p>
      <w:pPr>
        <w:pStyle w:val="Heading3"/>
      </w:pPr>
      <w:r>
        <w:rPr>
          <w:b/>
          <w:bCs/>
          <w:sz w:val="22"/>
          <w:szCs w:val="22"/>
        </w:rPr>
        <w:t xml:space="preserve">8.2 Income Netting</w:t>
      </w:r>
    </w:p>
    <w:p>
      <w:r>
        <w:rPr>
          <w:sz w:val="22"/>
          <w:szCs w:val="22"/>
        </w:rPr>
        <w:t xml:space="preserve">Net Monthly Income (NMI) is computed as follows:</w:t>
      </w:r>
    </w:p>
    <w:p>
      <w:pPr>
        <w:pStyle w:val="ListParagraph"/>
        <w:numPr>
          <w:ilvl w:val="0"/>
          <w:numId w:val="2"/>
        </w:numPr>
      </w:pPr>
      <w:r>
        <w:rPr>
          <w:sz w:val="22"/>
          <w:szCs w:val="22"/>
        </w:rPr>
        <w:t xml:space="preserve">Salaried: Take-home salary after all statutory deductions (PF, PT, TDS). Gross salary is not used.</w:t>
      </w:r>
    </w:p>
    <w:p>
      <w:pPr>
        <w:pStyle w:val="ListParagraph"/>
        <w:numPr>
          <w:ilvl w:val="0"/>
          <w:numId w:val="2"/>
        </w:numPr>
      </w:pPr>
      <w:r>
        <w:rPr>
          <w:sz w:val="22"/>
          <w:szCs w:val="22"/>
        </w:rPr>
        <w:t xml:space="preserve">Self-employed: Average monthly net profit from last 2 years ITR, after adding back depreciation, divided by 24. Only one year's ITR is used if income has declined year-on-year (lower of the two).</w:t>
      </w:r>
    </w:p>
    <w:p>
      <w:pPr>
        <w:pStyle w:val="ListParagraph"/>
        <w:numPr>
          <w:ilvl w:val="0"/>
          <w:numId w:val="2"/>
        </w:numPr>
      </w:pPr>
      <w:r>
        <w:rPr>
          <w:sz w:val="22"/>
          <w:szCs w:val="22"/>
        </w:rPr>
        <w:t xml:space="preserve">Rental income: 70% of rental income is considered (30% haircut for vacancy and maintenance risk).</w:t>
      </w:r>
    </w:p>
    <w:p>
      <w:pPr>
        <w:pStyle w:val="ListParagraph"/>
        <w:numPr>
          <w:ilvl w:val="0"/>
          <w:numId w:val="2"/>
        </w:numPr>
      </w:pPr>
      <w:r>
        <w:rPr>
          <w:sz w:val="22"/>
          <w:szCs w:val="22"/>
        </w:rPr>
        <w:t xml:space="preserve">Agriculture income: Not considered for repayment capacity assessment.</w:t>
      </w:r>
    </w:p>
    <w:p>
      <w:r>
        <w:t xml:space="preserve"/>
      </w:r>
    </w:p>
    <w:p>
      <w:pPr>
        <w:pStyle w:val="Heading3"/>
      </w:pPr>
      <w:r>
        <w:rPr>
          <w:b/>
          <w:bCs/>
          <w:sz w:val="22"/>
          <w:szCs w:val="22"/>
        </w:rPr>
        <w:t xml:space="preserve">8.3 Minimum Income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Product</w:t>
            </w:r>
          </w:p>
        </w:tc>
        <w:tc>
          <w:tcPr>
            <w:tcW w:type="dxa" w:w="25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Minimum NMI (Salaried)</w:t>
            </w:r>
          </w:p>
        </w:tc>
        <w:tc>
          <w:tcPr>
            <w:tcW w:type="dxa" w:w="38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Minimum NMI (Self-Employed)</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Personal Loan</w:t>
            </w:r>
          </w:p>
        </w:tc>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INR 20,000</w:t>
            </w:r>
          </w:p>
        </w:tc>
        <w:tc>
          <w:tcPr>
            <w:tcW w:type="dxa" w:w="3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INR 30,000</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Home Loan</w:t>
            </w:r>
          </w:p>
        </w:tc>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INR 25,000</w:t>
            </w:r>
          </w:p>
        </w:tc>
        <w:tc>
          <w:tcPr>
            <w:tcW w:type="dxa" w:w="3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INR 25,000 (net profit basis)</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Vehicle Loan</w:t>
            </w:r>
          </w:p>
        </w:tc>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INR 15,000</w:t>
            </w:r>
          </w:p>
        </w:tc>
        <w:tc>
          <w:tcPr>
            <w:tcW w:type="dxa" w:w="3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INR 20,000</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Credit Card</w:t>
            </w:r>
          </w:p>
        </w:tc>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INR 20,000</w:t>
            </w:r>
          </w:p>
        </w:tc>
        <w:tc>
          <w:tcPr>
            <w:tcW w:type="dxa" w:w="3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INR 25,000</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MSME Loan</w:t>
            </w:r>
          </w:p>
        </w:tc>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N/A</w:t>
            </w:r>
          </w:p>
        </w:tc>
        <w:tc>
          <w:tcPr>
            <w:tcW w:type="dxa" w:w="3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Entity turnover-based; per MSME Lending Policy</w:t>
            </w:r>
          </w:p>
        </w:tc>
      </w:tr>
    </w:tbl>
    <w:p>
      <w:r>
        <w:t xml:space="preserve"/>
      </w:r>
    </w:p>
    <w:p>
      <w:pPr>
        <w:pStyle w:val="Heading2"/>
      </w:pPr>
      <w:r>
        <w:rPr>
          <w:b/>
          <w:bCs/>
          <w:sz w:val="24"/>
          <w:szCs w:val="24"/>
        </w:rPr>
        <w:t xml:space="preserve">9. Gate 6 – Fixed Obligation to Income Ratio (FOIR)</w:t>
      </w:r>
    </w:p>
    <w:p>
      <w:r>
        <w:rPr>
          <w:sz w:val="22"/>
          <w:szCs w:val="22"/>
        </w:rPr>
        <w:t xml:space="preserve">FOIR measures the proportion of the applicant's net monthly income committed to repaying existing and proposed debt obligations. It is the primary affordability control.</w:t>
      </w:r>
    </w:p>
    <w:p>
      <w:r>
        <w:t xml:space="preserve"/>
      </w:r>
    </w:p>
    <w:p>
      <w:pPr>
        <w:pStyle w:val="Heading3"/>
      </w:pPr>
      <w:r>
        <w:rPr>
          <w:b/>
          <w:bCs/>
          <w:sz w:val="22"/>
          <w:szCs w:val="22"/>
        </w:rPr>
        <w:t xml:space="preserve">9.1 FOIR Computation</w:t>
      </w:r>
    </w:p>
    <w:p>
      <w:r>
        <w:rPr>
          <w:sz w:val="22"/>
          <w:szCs w:val="22"/>
        </w:rPr>
        <w:t xml:space="preserve">FOIR = (Sum of all existing monthly EMI obligations + proposed EMI) / Net Monthly Income x 100</w:t>
      </w:r>
    </w:p>
    <w:p>
      <w:r>
        <w:rPr>
          <w:sz w:val="22"/>
          <w:szCs w:val="22"/>
        </w:rPr>
        <w:t xml:space="preserve">Existing obligations include: all active loan EMIs visible in the bureau report; credit card minimum amount due (5% of outstanding balance if revolving); any co-signed or guaranteed loan EMIs where the applicant is the primary obligor.</w:t>
      </w:r>
    </w:p>
    <w:p>
      <w:r>
        <w:t xml:space="preserve"/>
      </w:r>
    </w:p>
    <w:p>
      <w:pPr>
        <w:pStyle w:val="Heading3"/>
      </w:pPr>
      <w:r>
        <w:rPr>
          <w:b/>
          <w:bCs/>
          <w:sz w:val="22"/>
          <w:szCs w:val="22"/>
        </w:rPr>
        <w:t xml:space="preserve">9.2 FOIR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Product</w:t>
            </w:r>
          </w:p>
        </w:tc>
        <w:tc>
          <w:tcPr>
            <w:tcW w:type="dxa" w:w="53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Maximum FOIR</w:t>
            </w:r>
          </w:p>
        </w:tc>
      </w:tr>
      <w:tr>
        <w:tc>
          <w:tcPr>
            <w:tcW w:type="dxa" w:w="4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Personal Loan</w:t>
            </w:r>
          </w:p>
        </w:tc>
        <w:tc>
          <w:tcPr>
            <w:tcW w:type="dxa" w:w="5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50% of NMI</w:t>
            </w:r>
          </w:p>
        </w:tc>
      </w:tr>
      <w:tr>
        <w:tc>
          <w:tcPr>
            <w:tcW w:type="dxa" w:w="4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Home Loan</w:t>
            </w:r>
          </w:p>
        </w:tc>
        <w:tc>
          <w:tcPr>
            <w:tcW w:type="dxa" w:w="5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50% of gross income (RBI-aligned)</w:t>
            </w:r>
          </w:p>
        </w:tc>
      </w:tr>
      <w:tr>
        <w:tc>
          <w:tcPr>
            <w:tcW w:type="dxa" w:w="4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Vehicle Loan</w:t>
            </w:r>
          </w:p>
        </w:tc>
        <w:tc>
          <w:tcPr>
            <w:tcW w:type="dxa" w:w="5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50% of NMI</w:t>
            </w:r>
          </w:p>
        </w:tc>
      </w:tr>
      <w:tr>
        <w:tc>
          <w:tcPr>
            <w:tcW w:type="dxa" w:w="4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Credit Card</w:t>
            </w:r>
          </w:p>
        </w:tc>
        <w:tc>
          <w:tcPr>
            <w:tcW w:type="dxa" w:w="5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40% of NMI (including proposed card minimum due)</w:t>
            </w:r>
          </w:p>
        </w:tc>
      </w:tr>
      <w:tr>
        <w:tc>
          <w:tcPr>
            <w:tcW w:type="dxa" w:w="4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MSME Working Capital</w:t>
            </w:r>
          </w:p>
        </w:tc>
        <w:tc>
          <w:tcPr>
            <w:tcW w:type="dxa" w:w="5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60% of NMI (entity cash flow basis)</w:t>
            </w:r>
          </w:p>
        </w:tc>
      </w:tr>
      <w:tr>
        <w:tc>
          <w:tcPr>
            <w:tcW w:type="dxa" w:w="4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Education Loan</w:t>
            </w:r>
          </w:p>
        </w:tc>
        <w:tc>
          <w:tcPr>
            <w:tcW w:type="dxa" w:w="5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Co-applicant FOIR assessed; student's future income projected</w:t>
            </w:r>
          </w:p>
        </w:tc>
      </w:tr>
    </w:tbl>
    <w:p>
      <w:r>
        <w:t xml:space="preserve"/>
      </w:r>
    </w:p>
    <w:p>
      <w:pPr>
        <w:pStyle w:val="Heading3"/>
      </w:pPr>
      <w:r>
        <w:rPr>
          <w:b/>
          <w:bCs/>
          <w:sz w:val="22"/>
          <w:szCs w:val="22"/>
        </w:rPr>
        <w:t xml:space="preserve">9.3 Maximum Loan Amount Computation</w:t>
      </w:r>
    </w:p>
    <w:p>
      <w:r>
        <w:rPr>
          <w:sz w:val="22"/>
          <w:szCs w:val="22"/>
        </w:rPr>
        <w:t xml:space="preserve">The maximum eligible loan amount is derived as:</w:t>
      </w:r>
    </w:p>
    <w:p>
      <w:r>
        <w:rPr>
          <w:sz w:val="22"/>
          <w:szCs w:val="22"/>
        </w:rPr>
        <w:t xml:space="preserve">Maximum EMI = NMI x (FOIR limit) – existing EMI obligations</w:t>
      </w:r>
    </w:p>
    <w:p>
      <w:r>
        <w:rPr>
          <w:sz w:val="22"/>
          <w:szCs w:val="22"/>
        </w:rPr>
        <w:t xml:space="preserve">Maximum Loan Amount = Maximum EMI x EMI factor (based on rate and tenure from standard amortisation table)</w:t>
      </w:r>
    </w:p>
    <w:p>
      <w:r>
        <w:rPr>
          <w:sz w:val="22"/>
          <w:szCs w:val="22"/>
        </w:rPr>
        <w:t xml:space="preserve">The sanctioned loan amount is the lower of: (a) the amount requested by the customer, (b) the maximum computed amount above, and (c) any product-level cap defined in the respective product policy.</w:t>
      </w:r>
    </w:p>
    <w:p>
      <w:r>
        <w:t xml:space="preserve"/>
      </w:r>
    </w:p>
    <w:p>
      <w:pPr>
        <w:pStyle w:val="Heading3"/>
      </w:pPr>
      <w:r>
        <w:rPr>
          <w:b/>
          <w:bCs/>
          <w:sz w:val="22"/>
          <w:szCs w:val="22"/>
        </w:rPr>
        <w:t xml:space="preserve">9.4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Condition</w:t>
            </w:r>
          </w:p>
        </w:tc>
        <w:tc>
          <w:tcPr>
            <w:tcW w:type="dxa" w:w="43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Outcome</w:t>
            </w:r>
          </w:p>
        </w:tc>
      </w:tr>
      <w:tr>
        <w:tc>
          <w:tcPr>
            <w:tcW w:type="dxa" w:w="5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FOIR within limit with proposed loan</w:t>
            </w:r>
          </w:p>
        </w:tc>
        <w:tc>
          <w:tcPr>
            <w:tcW w:type="dxa" w:w="4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Pass – proceed to Gate 7</w:t>
            </w:r>
          </w:p>
        </w:tc>
      </w:tr>
      <w:tr>
        <w:tc>
          <w:tcPr>
            <w:tcW w:type="dxa" w:w="5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FOIR within limit only at a lower loan amount</w:t>
            </w:r>
          </w:p>
        </w:tc>
        <w:tc>
          <w:tcPr>
            <w:tcW w:type="dxa" w:w="4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Conditional – counter-offer with reduced loan amount</w:t>
            </w:r>
          </w:p>
        </w:tc>
      </w:tr>
      <w:tr>
        <w:tc>
          <w:tcPr>
            <w:tcW w:type="dxa" w:w="5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FOIR exceeds limit even at minimum loan amount</w:t>
            </w:r>
          </w:p>
        </w:tc>
        <w:tc>
          <w:tcPr>
            <w:tcW w:type="dxa" w:w="4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Hard Fail – decline on affordability grounds</w:t>
            </w:r>
          </w:p>
        </w:tc>
      </w:tr>
    </w:tbl>
    <w:p>
      <w:r>
        <w:t xml:space="preserve"/>
      </w:r>
    </w:p>
    <w:p>
      <w:pPr>
        <w:pStyle w:val="Heading2"/>
      </w:pPr>
      <w:r>
        <w:rPr>
          <w:b/>
          <w:bCs/>
          <w:sz w:val="24"/>
          <w:szCs w:val="24"/>
        </w:rPr>
        <w:t xml:space="preserve">10. Gate 7 – Product-Specific Parameters</w:t>
      </w:r>
    </w:p>
    <w:p>
      <w:r>
        <w:rPr>
          <w:sz w:val="22"/>
          <w:szCs w:val="22"/>
        </w:rPr>
        <w:t xml:space="preserve">Each loan product has additional parameters that must be validated beyond the common gates above.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Product</w:t>
            </w:r>
          </w:p>
        </w:tc>
        <w:tc>
          <w:tcPr>
            <w:tcW w:type="dxa" w:w="30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Additional Parameter</w:t>
            </w:r>
          </w:p>
        </w:tc>
        <w:tc>
          <w:tcPr>
            <w:tcW w:type="dxa" w:w="43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Requirement</w:t>
            </w:r>
          </w:p>
        </w:tc>
      </w:tr>
      <w:tr>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Home Loan</w:t>
            </w:r>
          </w:p>
        </w:tc>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LTV Ratio</w:t>
            </w:r>
          </w:p>
        </w:tc>
        <w:tc>
          <w:tcPr>
            <w:tcW w:type="dxa" w:w="4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Must not exceed RBI-prescribed LTV (75%–90% depending on loan amount)</w:t>
            </w:r>
          </w:p>
        </w:tc>
      </w:tr>
      <w:tr>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Home Loan</w:t>
            </w:r>
          </w:p>
        </w:tc>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Property Title</w:t>
            </w:r>
          </w:p>
        </w:tc>
        <w:tc>
          <w:tcPr>
            <w:tcW w:type="dxa" w:w="4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Clear and marketable title confirmed by empanelled advocate</w:t>
            </w:r>
          </w:p>
        </w:tc>
      </w:tr>
      <w:tr>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Home Loan</w:t>
            </w:r>
          </w:p>
        </w:tc>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Property Valuation</w:t>
            </w:r>
          </w:p>
        </w:tc>
        <w:tc>
          <w:tcPr>
            <w:tcW w:type="dxa" w:w="4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Completed by empanelled valuer; second valuation required above INR 1 crore</w:t>
            </w:r>
          </w:p>
        </w:tc>
      </w:tr>
      <w:tr>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Vehicle Loan</w:t>
            </w:r>
          </w:p>
        </w:tc>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LTV on vehicle</w:t>
            </w:r>
          </w:p>
        </w:tc>
        <w:tc>
          <w:tcPr>
            <w:tcW w:type="dxa" w:w="4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Maximum 85% of on-road price</w:t>
            </w:r>
          </w:p>
        </w:tc>
      </w:tr>
      <w:tr>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Gold Loan</w:t>
            </w:r>
          </w:p>
        </w:tc>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Gold purity and value</w:t>
            </w:r>
          </w:p>
        </w:tc>
        <w:tc>
          <w:tcPr>
            <w:tcW w:type="dxa" w:w="4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Appraised by Bank-authorised appraiser; LTV maximum 75% (RBI)</w:t>
            </w:r>
          </w:p>
        </w:tc>
      </w:tr>
      <w:tr>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Personal Loan</w:t>
            </w:r>
          </w:p>
        </w:tc>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Unsecured exposure cap</w:t>
            </w:r>
          </w:p>
        </w:tc>
        <w:tc>
          <w:tcPr>
            <w:tcW w:type="dxa" w:w="4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Maximum INR 40 lakh; no collateral required but FOIR strictly enforced</w:t>
            </w:r>
          </w:p>
        </w:tc>
      </w:tr>
      <w:tr>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Credit Card</w:t>
            </w:r>
          </w:p>
        </w:tc>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Credit limit computation</w:t>
            </w:r>
          </w:p>
        </w:tc>
        <w:tc>
          <w:tcPr>
            <w:tcW w:type="dxa" w:w="4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Initial limit 2–4x NMI; maximum INR 5 lakh without Credit Manager approval</w:t>
            </w:r>
          </w:p>
        </w:tc>
      </w:tr>
      <w:tr>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MSME Loan</w:t>
            </w:r>
          </w:p>
        </w:tc>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Udyam registration</w:t>
            </w:r>
          </w:p>
        </w:tc>
        <w:tc>
          <w:tcPr>
            <w:tcW w:type="dxa" w:w="4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Valid Udyam certificate matching entity name and PAN</w:t>
            </w:r>
          </w:p>
        </w:tc>
      </w:tr>
      <w:tr>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MSME Loan</w:t>
            </w:r>
          </w:p>
        </w:tc>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DSCR (term loans)</w:t>
            </w:r>
          </w:p>
        </w:tc>
        <w:tc>
          <w:tcPr>
            <w:tcW w:type="dxa" w:w="4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Debt Service Coverage Ratio must be at least 1.1x based on projected cash flows</w:t>
            </w:r>
          </w:p>
        </w:tc>
      </w:tr>
      <w:tr>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Education Loan</w:t>
            </w:r>
          </w:p>
        </w:tc>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Institution eligibility</w:t>
            </w:r>
          </w:p>
        </w:tc>
        <w:tc>
          <w:tcPr>
            <w:tcW w:type="dxa" w:w="4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Institution must be on the Bank's approved list or accredited by UGC/AICTE/MCI</w:t>
            </w:r>
          </w:p>
        </w:tc>
      </w:tr>
    </w:tbl>
    <w:p>
      <w:r>
        <w:t xml:space="preserve"/>
      </w:r>
    </w:p>
    <w:p>
      <w:pPr>
        <w:pStyle w:val="Heading2"/>
      </w:pPr>
      <w:r>
        <w:rPr>
          <w:b/>
          <w:bCs/>
          <w:sz w:val="24"/>
          <w:szCs w:val="24"/>
        </w:rPr>
        <w:t xml:space="preserve">11. Gate 8 – Compliance and Regulatory Checks</w:t>
      </w:r>
    </w:p>
    <w:p>
      <w:r>
        <w:rPr>
          <w:sz w:val="22"/>
          <w:szCs w:val="22"/>
        </w:rPr>
        <w:t xml:space="preserve">The final gate confirms that extending the loan does not create a regulatory, legal, or policy breach.</w:t>
      </w:r>
    </w:p>
    <w:p>
      <w:r>
        <w:t xml:space="preserve"/>
      </w:r>
    </w:p>
    <w:p>
      <w:pPr>
        <w:pStyle w:val="Heading3"/>
      </w:pPr>
      <w:r>
        <w:rPr>
          <w:b/>
          <w:bCs/>
          <w:sz w:val="22"/>
          <w:szCs w:val="22"/>
        </w:rPr>
        <w:t xml:space="preserve">11.1 Checks</w:t>
      </w:r>
    </w:p>
    <w:p>
      <w:pPr>
        <w:pStyle w:val="ListParagraph"/>
        <w:numPr>
          <w:ilvl w:val="0"/>
          <w:numId w:val="2"/>
        </w:numPr>
      </w:pPr>
      <w:r>
        <w:rPr>
          <w:sz w:val="22"/>
          <w:szCs w:val="22"/>
        </w:rPr>
        <w:t xml:space="preserve">Large Exposure: Does the proposed exposure breach the Bank's single-borrower limit (20% of capital funds per RBI Large Exposure Framework)? If yes, Hard Fail unless Board exception.</w:t>
      </w:r>
    </w:p>
    <w:p>
      <w:pPr>
        <w:pStyle w:val="ListParagraph"/>
        <w:numPr>
          <w:ilvl w:val="0"/>
          <w:numId w:val="2"/>
        </w:numPr>
      </w:pPr>
      <w:r>
        <w:rPr>
          <w:sz w:val="22"/>
          <w:szCs w:val="22"/>
        </w:rPr>
        <w:t xml:space="preserve">Connected Lending: Is the applicant a director, senior officer, or connected party of the Bank? If yes, the application must be approved by the Board or a committee excluding the connected individual.</w:t>
      </w:r>
    </w:p>
    <w:p>
      <w:pPr>
        <w:pStyle w:val="ListParagraph"/>
        <w:numPr>
          <w:ilvl w:val="0"/>
          <w:numId w:val="2"/>
        </w:numPr>
      </w:pPr>
      <w:r>
        <w:rPr>
          <w:sz w:val="22"/>
          <w:szCs w:val="22"/>
        </w:rPr>
        <w:t xml:space="preserve">PEP Status: Is the applicant a Politically Exposed Person? If yes, Enhanced Due Diligence must be completed and CCO approval obtained before sanction, regardless of product.</w:t>
      </w:r>
    </w:p>
    <w:p>
      <w:pPr>
        <w:pStyle w:val="ListParagraph"/>
        <w:numPr>
          <w:ilvl w:val="0"/>
          <w:numId w:val="2"/>
        </w:numPr>
      </w:pPr>
      <w:r>
        <w:rPr>
          <w:sz w:val="22"/>
          <w:szCs w:val="22"/>
        </w:rPr>
        <w:t xml:space="preserve">Sector Restrictions: Does the purpose of the loan involve a prohibited sector (e.g., speculative real estate purchase, gambling, restricted commodities)? If yes, Hard Fail.</w:t>
      </w:r>
    </w:p>
    <w:p>
      <w:pPr>
        <w:pStyle w:val="ListParagraph"/>
        <w:numPr>
          <w:ilvl w:val="0"/>
          <w:numId w:val="2"/>
        </w:numPr>
      </w:pPr>
      <w:r>
        <w:rPr>
          <w:sz w:val="22"/>
          <w:szCs w:val="22"/>
        </w:rPr>
        <w:t xml:space="preserve">PMLA Obligations: Does the loan structure or purpose raise any AML concern? If yes, refer to Compliance before proceeding.</w:t>
      </w:r>
    </w:p>
    <w:p>
      <w:r>
        <w:t xml:space="preserve"/>
      </w:r>
    </w:p>
    <w:p>
      <w:pPr>
        <w:pStyle w:val="Heading3"/>
      </w:pPr>
      <w:r>
        <w:rPr>
          <w:b/>
          <w:bCs/>
          <w:sz w:val="22"/>
          <w:szCs w:val="22"/>
        </w:rPr>
        <w:t xml:space="preserve">11.2 Outcome</w:t>
      </w:r>
    </w:p>
    <w:p>
      <w:r>
        <w:rPr>
          <w:sz w:val="22"/>
          <w:szCs w:val="22"/>
        </w:rPr>
        <w:t xml:space="preserve">Any unresolved compliance flag is a Hard Fail. A flag that can be resolved (e.g., EDD completed for a PEP) results in a hold until the compliance condition is cleared, after which the gate is re-evaluated.</w:t>
      </w:r>
    </w:p>
    <w:p>
      <w:r>
        <w:t xml:space="preserve"/>
      </w:r>
    </w:p>
    <w:p>
      <w:pPr>
        <w:pStyle w:val="Heading2"/>
      </w:pPr>
      <w:r>
        <w:rPr>
          <w:b/>
          <w:bCs/>
          <w:sz w:val="24"/>
          <w:szCs w:val="24"/>
        </w:rPr>
        <w:t xml:space="preserve">12. Eligibility Outcome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Overall Outcome</w:t>
            </w:r>
          </w:p>
        </w:tc>
        <w:tc>
          <w:tcPr>
            <w:tcW w:type="dxa" w:w="35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Definition</w:t>
            </w:r>
          </w:p>
        </w:tc>
        <w:tc>
          <w:tcPr>
            <w:tcW w:type="dxa" w:w="33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Next Step</w:t>
            </w:r>
          </w:p>
        </w:tc>
      </w:tr>
      <w:tr>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Eligible</w:t>
            </w:r>
          </w:p>
        </w:tc>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All 8 gates cleared with Pass or resolved Conditional outcomes</w:t>
            </w:r>
          </w:p>
        </w:tc>
        <w:tc>
          <w:tcPr>
            <w:tcW w:type="dxa" w:w="3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Proceed to credit appraisal and underwriting</w:t>
            </w:r>
          </w:p>
        </w:tc>
      </w:tr>
      <w:tr>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Conditionally Eligible</w:t>
            </w:r>
          </w:p>
        </w:tc>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One or more Conditional outcomes not yet resolved; no Hard Fails</w:t>
            </w:r>
          </w:p>
        </w:tc>
        <w:tc>
          <w:tcPr>
            <w:tcW w:type="dxa" w:w="3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Hold application; notify customer of conditions to be met; re-evaluate on resolution</w:t>
            </w:r>
          </w:p>
        </w:tc>
      </w:tr>
      <w:tr>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Ineligible – Soft Decline</w:t>
            </w:r>
          </w:p>
        </w:tc>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Failed Gate 3 (age/employment) or Gate 5/6 (income/FOIR) but no hard negative profile</w:t>
            </w:r>
          </w:p>
        </w:tc>
        <w:tc>
          <w:tcPr>
            <w:tcW w:type="dxa" w:w="3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Decline with reason; advise customer on reapplication conditions (e.g., after income improvement or tenure reduction)</w:t>
            </w:r>
          </w:p>
        </w:tc>
      </w:tr>
      <w:tr>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Ineligible – Hard Decline</w:t>
            </w:r>
          </w:p>
        </w:tc>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Failed Gate 1, 2, 4 (NPA/fraud/sanctions/score below 700), or Gate 8 (compliance)</w:t>
            </w:r>
          </w:p>
        </w:tc>
        <w:tc>
          <w:tcPr>
            <w:tcW w:type="dxa" w:w="3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Decline; do not share watchlist details; file STR if applicable</w:t>
            </w:r>
          </w:p>
        </w:tc>
      </w:tr>
    </w:tbl>
    <w:p>
      <w:r>
        <w:t xml:space="preserve"/>
      </w:r>
    </w:p>
    <w:p>
      <w:pPr>
        <w:pStyle w:val="Heading2"/>
      </w:pPr>
      <w:r>
        <w:rPr>
          <w:b/>
          <w:bCs/>
          <w:sz w:val="24"/>
          <w:szCs w:val="24"/>
        </w:rPr>
        <w:t xml:space="preserve">13. Customer Communication</w:t>
      </w:r>
    </w:p>
    <w:p>
      <w:r>
        <w:rPr>
          <w:sz w:val="22"/>
          <w:szCs w:val="22"/>
        </w:rPr>
        <w:t xml:space="preserve">The Bank must communicate the eligibility outcome to the applicant within the following timelines: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Product</w:t>
            </w:r>
          </w:p>
        </w:tc>
        <w:tc>
          <w:tcPr>
            <w:tcW w:type="dxa" w:w="53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Decision Communication TAT</w:t>
            </w:r>
          </w:p>
        </w:tc>
      </w:tr>
      <w:tr>
        <w:tc>
          <w:tcPr>
            <w:tcW w:type="dxa" w:w="4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Personal Loan</w:t>
            </w:r>
          </w:p>
        </w:tc>
        <w:tc>
          <w:tcPr>
            <w:tcW w:type="dxa" w:w="5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Within 3 working days of complete application receipt</w:t>
            </w:r>
          </w:p>
        </w:tc>
      </w:tr>
      <w:tr>
        <w:tc>
          <w:tcPr>
            <w:tcW w:type="dxa" w:w="4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Home Loan</w:t>
            </w:r>
          </w:p>
        </w:tc>
        <w:tc>
          <w:tcPr>
            <w:tcW w:type="dxa" w:w="5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Within 7 working days (subject to property documentation)</w:t>
            </w:r>
          </w:p>
        </w:tc>
      </w:tr>
      <w:tr>
        <w:tc>
          <w:tcPr>
            <w:tcW w:type="dxa" w:w="4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MSME Loan up to INR 1 crore</w:t>
            </w:r>
          </w:p>
        </w:tc>
        <w:tc>
          <w:tcPr>
            <w:tcW w:type="dxa" w:w="5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Within 7 working days</w:t>
            </w:r>
          </w:p>
        </w:tc>
      </w:tr>
      <w:tr>
        <w:tc>
          <w:tcPr>
            <w:tcW w:type="dxa" w:w="4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MSME Loan above INR 1 crore</w:t>
            </w:r>
          </w:p>
        </w:tc>
        <w:tc>
          <w:tcPr>
            <w:tcW w:type="dxa" w:w="5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Within 15 working days</w:t>
            </w:r>
          </w:p>
        </w:tc>
      </w:tr>
      <w:tr>
        <w:tc>
          <w:tcPr>
            <w:tcW w:type="dxa" w:w="4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Credit Card</w:t>
            </w:r>
          </w:p>
        </w:tc>
        <w:tc>
          <w:tcPr>
            <w:tcW w:type="dxa" w:w="5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Within 3 working days</w:t>
            </w:r>
          </w:p>
        </w:tc>
      </w:tr>
    </w:tbl>
    <w:p>
      <w:r>
        <w:rPr>
          <w:sz w:val="22"/>
          <w:szCs w:val="22"/>
        </w:rPr>
        <w:t xml:space="preserve">Decline communications must state the reason for decline in plain language without referencing watchlists or confidential screening databases. The applicant must be informed of their right to approach the Banking Ombudsman if they believe the decline is unjust.</w:t>
      </w:r>
    </w:p>
    <w:p>
      <w:r>
        <w:t xml:space="preserve"/>
      </w:r>
    </w:p>
    <w:p>
      <w:pPr>
        <w:pStyle w:val="Heading2"/>
      </w:pPr>
      <w:r>
        <w:rPr>
          <w:b/>
          <w:bCs/>
          <w:sz w:val="24"/>
          <w:szCs w:val="24"/>
        </w:rPr>
        <w:t xml:space="preserve">14. Override and Deviation</w:t>
      </w:r>
    </w:p>
    <w:p>
      <w:r>
        <w:rPr>
          <w:sz w:val="22"/>
          <w:szCs w:val="22"/>
        </w:rPr>
        <w:t xml:space="preserve">An override is a decision to proceed despite a Conditional outcome at any gate. Overrides are not permitted for Hard Fail outcomes. All overrides must be:</w:t>
      </w:r>
    </w:p>
    <w:p>
      <w:pPr>
        <w:pStyle w:val="ListParagraph"/>
        <w:numPr>
          <w:ilvl w:val="0"/>
          <w:numId w:val="2"/>
        </w:numPr>
      </w:pPr>
      <w:r>
        <w:rPr>
          <w:sz w:val="22"/>
          <w:szCs w:val="22"/>
        </w:rPr>
        <w:t xml:space="preserve">Documented with a written justification by the initiating officer.</w:t>
      </w:r>
    </w:p>
    <w:p>
      <w:pPr>
        <w:pStyle w:val="ListParagraph"/>
        <w:numPr>
          <w:ilvl w:val="0"/>
          <w:numId w:val="2"/>
        </w:numPr>
      </w:pPr>
      <w:r>
        <w:rPr>
          <w:sz w:val="22"/>
          <w:szCs w:val="22"/>
        </w:rPr>
        <w:t xml:space="preserve">Approved by the next level of credit authority above the standard approval level for the loan amount.</w:t>
      </w:r>
    </w:p>
    <w:p>
      <w:pPr>
        <w:pStyle w:val="ListParagraph"/>
        <w:numPr>
          <w:ilvl w:val="0"/>
          <w:numId w:val="2"/>
        </w:numPr>
      </w:pPr>
      <w:r>
        <w:rPr>
          <w:sz w:val="22"/>
          <w:szCs w:val="22"/>
        </w:rPr>
        <w:t xml:space="preserve">Recorded in the loan origination system with the override reason code.</w:t>
      </w:r>
    </w:p>
    <w:p>
      <w:pPr>
        <w:pStyle w:val="ListParagraph"/>
        <w:numPr>
          <w:ilvl w:val="0"/>
          <w:numId w:val="2"/>
        </w:numPr>
      </w:pPr>
      <w:r>
        <w:rPr>
          <w:sz w:val="22"/>
          <w:szCs w:val="22"/>
        </w:rPr>
        <w:t xml:space="preserve">Reported monthly to the Chief Credit Officer as part of the deviation report.</w:t>
      </w:r>
    </w:p>
    <w:p>
      <w:r>
        <w:rPr>
          <w:sz w:val="22"/>
          <w:szCs w:val="22"/>
        </w:rPr>
        <w:t xml:space="preserve">Override rates exceeding 10% of monthly application volume for any product require review by the Credit Risk Management Committee.</w:t>
      </w:r>
    </w:p>
    <w:p>
      <w:r>
        <w:t xml:space="preserve"/>
      </w:r>
    </w:p>
    <w:p>
      <w:pPr>
        <w:pStyle w:val="Heading2"/>
      </w:pPr>
      <w:r>
        <w:rPr>
          <w:b/>
          <w:bCs/>
          <w:sz w:val="24"/>
          <w:szCs w:val="24"/>
        </w:rPr>
        <w:t xml:space="preserve">15. Re-application</w:t>
      </w:r>
    </w:p>
    <w:p>
      <w:r>
        <w:rPr>
          <w:sz w:val="22"/>
          <w:szCs w:val="22"/>
        </w:rPr>
        <w:t xml:space="preserve">A declined applicant may reapply subject to the following cooling-off periods: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Decline Reason</w:t>
            </w:r>
          </w:p>
        </w:tc>
        <w:tc>
          <w:tcPr>
            <w:tcW w:type="dxa" w:w="48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Minimum Re-application Cooling Period</w:t>
            </w:r>
          </w:p>
        </w:tc>
      </w:tr>
      <w:tr>
        <w:tc>
          <w:tcPr>
            <w:tcW w:type="dxa" w:w="4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Bureau score below threshold</w:t>
            </w:r>
          </w:p>
        </w:tc>
        <w:tc>
          <w:tcPr>
            <w:tcW w:type="dxa" w:w="4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6 months (to allow credit profile improvement)</w:t>
            </w:r>
          </w:p>
        </w:tc>
      </w:tr>
      <w:tr>
        <w:tc>
          <w:tcPr>
            <w:tcW w:type="dxa" w:w="4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FOIR / income insufficiency</w:t>
            </w:r>
          </w:p>
        </w:tc>
        <w:tc>
          <w:tcPr>
            <w:tcW w:type="dxa" w:w="4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3 months (or when income changes materially)</w:t>
            </w:r>
          </w:p>
        </w:tc>
      </w:tr>
      <w:tr>
        <w:tc>
          <w:tcPr>
            <w:tcW w:type="dxa" w:w="4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Employment / vintage criterion not met</w:t>
            </w:r>
          </w:p>
        </w:tc>
        <w:tc>
          <w:tcPr>
            <w:tcW w:type="dxa" w:w="4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Until criterion is met</w:t>
            </w:r>
          </w:p>
        </w:tc>
      </w:tr>
      <w:tr>
        <w:tc>
          <w:tcPr>
            <w:tcW w:type="dxa" w:w="4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Hard Fail (fraud / sanctions / wilful defaulter)</w:t>
            </w:r>
          </w:p>
        </w:tc>
        <w:tc>
          <w:tcPr>
            <w:tcW w:type="dxa" w:w="4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Not permitted; permanent bar unless list status is resolved</w:t>
            </w:r>
          </w:p>
        </w:tc>
      </w:tr>
      <w:tr>
        <w:tc>
          <w:tcPr>
            <w:tcW w:type="dxa" w:w="4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KYC incomplete</w:t>
            </w:r>
          </w:p>
        </w:tc>
        <w:tc>
          <w:tcPr>
            <w:tcW w:type="dxa" w:w="4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Immediately upon KYC completion</w:t>
            </w:r>
          </w:p>
        </w:tc>
      </w:tr>
    </w:tbl>
    <w:p>
      <w:r>
        <w:t xml:space="preserve"/>
      </w:r>
    </w:p>
    <w:p>
      <w:pPr>
        <w:pStyle w:val="Heading2"/>
      </w:pPr>
      <w:r>
        <w:rPr>
          <w:b/>
          <w:bCs/>
          <w:sz w:val="24"/>
          <w:szCs w:val="24"/>
        </w:rPr>
        <w:t xml:space="preserve">16. Record Keeping</w:t>
      </w:r>
    </w:p>
    <w:p>
      <w:r>
        <w:rPr>
          <w:sz w:val="22"/>
          <w:szCs w:val="22"/>
        </w:rPr>
        <w:t xml:space="preserve">All eligibility validation records including gate outcomes, bureau reports, income documents, and override approvals must be retained in the Loan Origination System (LOS) and Document Management System (DMS) for a minimum of 5 years from the date of the credit decision, whether approved or declined.</w:t>
      </w:r>
    </w:p>
    <w:p>
      <w:r>
        <w:t xml:space="preserve"/>
      </w:r>
    </w:p>
    <w:p>
      <w:pPr>
        <w:pStyle w:val="Heading2"/>
      </w:pPr>
      <w:r>
        <w:rPr>
          <w:b/>
          <w:bCs/>
          <w:sz w:val="24"/>
          <w:szCs w:val="24"/>
        </w:rPr>
        <w:t xml:space="preserve">17.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Role</w:t>
            </w:r>
          </w:p>
        </w:tc>
        <w:tc>
          <w:tcPr>
            <w:tcW w:type="dxa" w:w="63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Responsibility</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Relationship Manager / Sales Officer</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Initiate application; collect documents; complete Gate 1–3 pre-checks before submission</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Credit Processing Officer</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Run bureau checks (Gate 4); compute FOIR (Gate 6); validate product parameters (Gate 7)</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Credit Manager</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Review Conditional outcomes; approve or decline at their authority level; document overrides</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Compliance / KYC Team</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Gate 2 sanctions screening; Gate 8 compliance checks; PEP validation</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Chief Credit Officer</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Policy ownership; override rate monitoring; escalation of systemic eligibility issues to Board</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Internal Audit</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Quarterly sample audit of eligibility gate completeness and override quality</w:t>
            </w:r>
          </w:p>
        </w:tc>
      </w:tr>
    </w:tbl>
    <w:p>
      <w:r>
        <w:t xml:space="preserve"/>
      </w:r>
    </w:p>
    <w:p>
      <w:pPr>
        <w:pStyle w:val="Heading2"/>
      </w:pPr>
      <w:r>
        <w:rPr>
          <w:b/>
          <w:bCs/>
          <w:sz w:val="24"/>
          <w:szCs w:val="24"/>
        </w:rPr>
        <w:t xml:space="preserve">18. Policy Review</w:t>
      </w:r>
    </w:p>
    <w:p>
      <w:r>
        <w:rPr>
          <w:sz w:val="22"/>
          <w:szCs w:val="22"/>
        </w:rPr>
        <w:t xml:space="preserve">This policy shall be reviewed annually or when any of the following occur: a change in RBI guidelines affecting credit eligibility norms; a material shift in portfolio delinquency attributable to eligibility gaps; a change in the Bank's approved product suite. The Chief Credit Officer initiates the review; the Board Risk &amp; Compliance Committee approves amendments.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2026-05-10T11:05:37.879Z</dcterms:created>
  <dcterms:modified xsi:type="dcterms:W3CDTF">2026-05-10T11:05:37.891Z</dcterms:modified>
</cp:coreProperties>
</file>

<file path=docProps/custom.xml><?xml version="1.0" encoding="utf-8"?>
<Properties xmlns="http://schemas.openxmlformats.org/officeDocument/2006/custom-properties" xmlns:vt="http://schemas.openxmlformats.org/officeDocument/2006/docPropsVTypes"/>
</file>