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Customer Onboarding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Onboarding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POL-5640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Retail Banking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Banking &amp; Distribution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establishes the standards and procedures governing the onboarding of new customers across all channels of the Bank. It ensures that every customer relationship is initiated in a manner that is compliant with applicable regulations, aligned with the Bank's risk appetite, and consistent with a high standard of customer experience.</w:t>
      </w:r>
    </w:p>
    <w:p>
      <w:r>
        <w:t xml:space="preserve"/>
      </w:r>
    </w:p>
    <w:p>
      <w:pPr>
        <w:pStyle w:val="Heading2"/>
      </w:pPr>
      <w:r>
        <w:rPr>
          <w:b/>
          <w:bCs/>
          <w:sz w:val="24"/>
          <w:szCs w:val="24"/>
        </w:rPr>
        <w:t xml:space="preserve">2. Scope</w:t>
      </w:r>
    </w:p>
    <w:p>
      <w:r>
        <w:rPr>
          <w:sz w:val="22"/>
          <w:szCs w:val="22"/>
        </w:rPr>
        <w:t xml:space="preserve">This policy applies to all business units, branches, digital channels, and third-party correspondents that facilitate the opening of new customer accounts or the establishment of new banking relationships. It covers individual retail customers, non-individual entities including companies, partnerships, trusts, and government bodies.</w:t>
      </w:r>
    </w:p>
    <w:p>
      <w:r>
        <w:t xml:space="preserve"/>
      </w:r>
    </w:p>
    <w:p>
      <w:pPr>
        <w:pStyle w:val="Heading2"/>
      </w:pPr>
      <w:r>
        <w:rPr>
          <w:b/>
          <w:bCs/>
          <w:sz w:val="24"/>
          <w:szCs w:val="24"/>
        </w:rPr>
        <w:t xml:space="preserve">3. Regulatory Framework</w:t>
      </w:r>
    </w:p>
    <w:p>
      <w:r>
        <w:rPr>
          <w:sz w:val="22"/>
          <w:szCs w:val="22"/>
        </w:rPr>
        <w:t xml:space="preserve">The policy is designed in compliance with the following:</w:t>
      </w:r>
    </w:p>
    <w:p>
      <w:pPr>
        <w:pStyle w:val="ListParagraph"/>
        <w:numPr>
          <w:ilvl w:val="0"/>
          <w:numId w:val="2"/>
        </w:numPr>
      </w:pPr>
      <w:r>
        <w:rPr>
          <w:sz w:val="22"/>
          <w:szCs w:val="22"/>
        </w:rPr>
        <w:t xml:space="preserve">Reserve Bank of India (RBI) Master Direction – Know Your Customer (KYC) Direction, 2016 (as amended)</w:t>
      </w:r>
    </w:p>
    <w:p>
      <w:pPr>
        <w:pStyle w:val="ListParagraph"/>
        <w:numPr>
          <w:ilvl w:val="0"/>
          <w:numId w:val="2"/>
        </w:numPr>
      </w:pPr>
      <w:r>
        <w:rPr>
          <w:sz w:val="22"/>
          <w:szCs w:val="22"/>
        </w:rPr>
        <w:t xml:space="preserve">Prevention of Money Laundering Act, 2002 (PMLA)</w:t>
      </w:r>
    </w:p>
    <w:p>
      <w:pPr>
        <w:pStyle w:val="ListParagraph"/>
        <w:numPr>
          <w:ilvl w:val="0"/>
          <w:numId w:val="2"/>
        </w:numPr>
      </w:pPr>
      <w:r>
        <w:rPr>
          <w:sz w:val="22"/>
          <w:szCs w:val="22"/>
        </w:rPr>
        <w:t xml:space="preserve">Foreign Exchange Management Act, 1999 (FEMA)</w:t>
      </w:r>
    </w:p>
    <w:p>
      <w:pPr>
        <w:pStyle w:val="ListParagraph"/>
        <w:numPr>
          <w:ilvl w:val="0"/>
          <w:numId w:val="2"/>
        </w:numPr>
      </w:pPr>
      <w:r>
        <w:rPr>
          <w:sz w:val="22"/>
          <w:szCs w:val="22"/>
        </w:rPr>
        <w:t xml:space="preserve">Banking Regulation Act, 1949</w:t>
      </w:r>
    </w:p>
    <w:p>
      <w:pPr>
        <w:pStyle w:val="ListParagraph"/>
        <w:numPr>
          <w:ilvl w:val="0"/>
          <w:numId w:val="2"/>
        </w:numPr>
      </w:pPr>
      <w:r>
        <w:rPr>
          <w:sz w:val="22"/>
          <w:szCs w:val="22"/>
        </w:rPr>
        <w:t xml:space="preserve">Income Tax Act, 1961 – provisions relating to PAN/Form 60</w:t>
      </w:r>
    </w:p>
    <w:p>
      <w:pPr>
        <w:pStyle w:val="ListParagraph"/>
        <w:numPr>
          <w:ilvl w:val="0"/>
          <w:numId w:val="2"/>
        </w:numPr>
      </w:pPr>
      <w:r>
        <w:rPr>
          <w:sz w:val="22"/>
          <w:szCs w:val="22"/>
        </w:rPr>
        <w:t xml:space="preserve">Financial Intelligence Unit – India (FIU-IND) guidelines</w:t>
      </w:r>
    </w:p>
    <w:p>
      <w:r>
        <w:t xml:space="preserve"/>
      </w:r>
    </w:p>
    <w:p>
      <w:pPr>
        <w:pStyle w:val="Heading2"/>
      </w:pPr>
      <w:r>
        <w:rPr>
          <w:b/>
          <w:bCs/>
          <w:sz w:val="24"/>
          <w:szCs w:val="24"/>
        </w:rP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Term</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Definition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Any person or entity that maintains an account or has a banking relationship with the Bank.</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Prospect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 individual or entity that has initiated an inquiry or application for a banking product but has not yet been onboarded.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Onboarding</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The end-to-end process of accepting, verifying, and activating a new customer relationship.</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OVD</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Officially Valid Document as defined under the Prevention of Money Laundering (Maintenance of Records) Rules, 2005.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Video KYC (V-CIP)</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Video-based Customer Identification Process as permitted by RBI.</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CIF</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Information File – a unique record maintained in the Bank's core banking system for each customer.</w:t>
            </w:r>
          </w:p>
        </w:tc>
      </w:tr>
    </w:tbl>
    <w:p>
      <w:r>
        <w:t xml:space="preserve"/>
      </w:r>
    </w:p>
    <w:p>
      <w:pPr>
        <w:pStyle w:val="Heading2"/>
      </w:pPr>
      <w:r>
        <w:rPr>
          <w:b/>
          <w:bCs/>
          <w:sz w:val="24"/>
          <w:szCs w:val="24"/>
        </w:rPr>
        <w:t xml:space="preserve">5. Onboarding Channels</w:t>
      </w:r>
    </w:p>
    <w:p>
      <w:pPr>
        <w:pStyle w:val="Heading3"/>
      </w:pPr>
      <w:r>
        <w:rPr>
          <w:b/>
          <w:bCs/>
          <w:sz w:val="22"/>
          <w:szCs w:val="22"/>
        </w:rPr>
        <w:t xml:space="preserve">5.1 Branch-Based Onboarding</w:t>
      </w:r>
    </w:p>
    <w:p>
      <w:r>
        <w:rPr>
          <w:sz w:val="22"/>
          <w:szCs w:val="22"/>
        </w:rPr>
        <w:t xml:space="preserve">Customers visiting a branch must complete the account opening form, submit OVDs, and provide biometric consent where applicable. Branch staff must physically verify documents and capture live photograph.</w:t>
      </w:r>
    </w:p>
    <w:p>
      <w:r>
        <w:t xml:space="preserve"/>
      </w:r>
    </w:p>
    <w:p>
      <w:pPr>
        <w:pStyle w:val="Heading3"/>
      </w:pPr>
      <w:r>
        <w:rPr>
          <w:b/>
          <w:bCs/>
          <w:sz w:val="22"/>
          <w:szCs w:val="22"/>
        </w:rPr>
        <w:t xml:space="preserve">5.2 Digital / Online Onboarding</w:t>
      </w:r>
    </w:p>
    <w:p>
      <w:r>
        <w:rPr>
          <w:sz w:val="22"/>
          <w:szCs w:val="22"/>
        </w:rPr>
        <w:t xml:space="preserve">Customers may initiate onboarding through the Bank's mobile application or internet banking portal. Digital onboarding must be completed via Aadhaar-based eKYC (OTP or biometric), DigiLocker document verification, or V-CIP as per RBI guidelines.</w:t>
      </w:r>
    </w:p>
    <w:p>
      <w:r>
        <w:t xml:space="preserve"/>
      </w:r>
    </w:p>
    <w:p>
      <w:pPr>
        <w:pStyle w:val="Heading3"/>
      </w:pPr>
      <w:r>
        <w:rPr>
          <w:b/>
          <w:bCs/>
          <w:sz w:val="22"/>
          <w:szCs w:val="22"/>
        </w:rPr>
        <w:t xml:space="preserve">5.3 Doorstep / Business Correspondent Onboarding</w:t>
      </w:r>
    </w:p>
    <w:p>
      <w:r>
        <w:rPr>
          <w:sz w:val="22"/>
          <w:szCs w:val="22"/>
        </w:rPr>
        <w:t xml:space="preserve">Authorized Business Correspondents (BCs) may onboard customers on behalf of the Bank. BCs must follow identical KYC standards and transmit documents to the Bank within 24 hours of account opening. The Bank retains full regulatory responsibility for BC-onboarded customers.</w:t>
      </w:r>
    </w:p>
    <w:p>
      <w:r>
        <w:t xml:space="preserve"/>
      </w:r>
    </w:p>
    <w:p>
      <w:pPr>
        <w:pStyle w:val="Heading2"/>
      </w:pPr>
      <w:r>
        <w:rPr>
          <w:b/>
          <w:bCs/>
          <w:sz w:val="24"/>
          <w:szCs w:val="24"/>
        </w:rPr>
        <w:t xml:space="preserve">6. Minimum Documentation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Customer Type</w:t>
            </w:r>
          </w:p>
        </w:tc>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Identity Proof</w:t>
            </w:r>
          </w:p>
        </w:tc>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Address Proof</w:t>
            </w:r>
          </w:p>
        </w:tc>
        <w:tc>
          <w:tcPr>
            <w:tcW w:type="dxa" w:w="21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Additional</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Individual (Resident)</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Aadhaar / Passport / Voter ID / Driving Licence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Aadhaar / Utility Bill / Bank Statement</w:t>
            </w:r>
          </w:p>
        </w:tc>
        <w:tc>
          <w:tcPr>
            <w:tcW w:type="dxa" w:w="21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 Form 60</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Individual (NRI)</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Passport (mandatory)</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Overseas Address Proof</w:t>
            </w:r>
          </w:p>
        </w:tc>
        <w:tc>
          <w:tcPr>
            <w:tcW w:type="dxa" w:w="21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 NRE/NRO declaration</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Sole Proprietorship</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As per individual plus GST Certificate / Shops &amp; Estab. Licence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Business address proof</w:t>
            </w:r>
          </w:p>
        </w:tc>
        <w:tc>
          <w:tcPr>
            <w:tcW w:type="dxa" w:w="21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of proprietor</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Private Limited Company</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COI, MOA, AOA</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Registered office proof</w:t>
            </w:r>
          </w:p>
        </w:tc>
        <w:tc>
          <w:tcPr>
            <w:tcW w:type="dxa" w:w="21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Board Resolution, List of Directors</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Partnership Firm</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Partnership Deed</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Office address proof</w:t>
            </w:r>
          </w:p>
        </w:tc>
        <w:tc>
          <w:tcPr>
            <w:tcW w:type="dxa" w:w="21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of firm</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Trust</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Trust Deed, Registration Certificate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Office address proof</w:t>
            </w:r>
          </w:p>
        </w:tc>
        <w:tc>
          <w:tcPr>
            <w:tcW w:type="dxa" w:w="21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PAN, List of trustees</w:t>
            </w:r>
          </w:p>
        </w:tc>
      </w:tr>
    </w:tbl>
    <w:p>
      <w:r>
        <w:t xml:space="preserve"/>
      </w:r>
    </w:p>
    <w:p>
      <w:pPr>
        <w:pStyle w:val="Heading2"/>
      </w:pPr>
      <w:r>
        <w:rPr>
          <w:b/>
          <w:bCs/>
          <w:sz w:val="24"/>
          <w:szCs w:val="24"/>
        </w:rPr>
        <w:t xml:space="preserve">7. Onboarding Process</w:t>
      </w:r>
    </w:p>
    <w:p>
      <w:pPr>
        <w:pStyle w:val="ListParagraph"/>
        <w:numPr>
          <w:ilvl w:val="0"/>
          <w:numId w:val="3"/>
        </w:numPr>
      </w:pPr>
      <w:r>
        <w:rPr>
          <w:sz w:val="22"/>
          <w:szCs w:val="22"/>
        </w:rPr>
        <w:t xml:space="preserve">Receive and log the customer application via relevant channel.</w:t>
      </w:r>
    </w:p>
    <w:p>
      <w:pPr>
        <w:pStyle w:val="ListParagraph"/>
        <w:numPr>
          <w:ilvl w:val="0"/>
          <w:numId w:val="3"/>
        </w:numPr>
      </w:pPr>
      <w:r>
        <w:rPr>
          <w:sz w:val="22"/>
          <w:szCs w:val="22"/>
        </w:rPr>
        <w:t xml:space="preserve">Conduct Customer Identification Program (CIP) checks as per the Bank's CIP Policy.</w:t>
      </w:r>
    </w:p>
    <w:p>
      <w:pPr>
        <w:pStyle w:val="ListParagraph"/>
        <w:numPr>
          <w:ilvl w:val="0"/>
          <w:numId w:val="3"/>
        </w:numPr>
      </w:pPr>
      <w:r>
        <w:rPr>
          <w:sz w:val="22"/>
          <w:szCs w:val="22"/>
        </w:rPr>
        <w:t xml:space="preserve">Perform KYC document collection and verification.</w:t>
      </w:r>
    </w:p>
    <w:p>
      <w:pPr>
        <w:pStyle w:val="ListParagraph"/>
        <w:numPr>
          <w:ilvl w:val="0"/>
          <w:numId w:val="3"/>
        </w:numPr>
      </w:pPr>
      <w:r>
        <w:rPr>
          <w:sz w:val="22"/>
          <w:szCs w:val="22"/>
        </w:rPr>
        <w:t xml:space="preserve">Run sanctions screening against OFAC, UN, FATF, and domestic PEP/watchlists.</w:t>
      </w:r>
    </w:p>
    <w:p>
      <w:pPr>
        <w:pStyle w:val="ListParagraph"/>
        <w:numPr>
          <w:ilvl w:val="0"/>
          <w:numId w:val="3"/>
        </w:numPr>
      </w:pPr>
      <w:r>
        <w:rPr>
          <w:sz w:val="22"/>
          <w:szCs w:val="22"/>
        </w:rPr>
        <w:t xml:space="preserve">Conduct Customer Due Diligence (CDD) and risk classification (Low / Medium / High).</w:t>
      </w:r>
    </w:p>
    <w:p>
      <w:pPr>
        <w:pStyle w:val="ListParagraph"/>
        <w:numPr>
          <w:ilvl w:val="0"/>
          <w:numId w:val="3"/>
        </w:numPr>
      </w:pPr>
      <w:r>
        <w:rPr>
          <w:sz w:val="22"/>
          <w:szCs w:val="22"/>
        </w:rPr>
        <w:t xml:space="preserve">Obtain Credit Bureau report where applicable.</w:t>
      </w:r>
    </w:p>
    <w:p>
      <w:pPr>
        <w:pStyle w:val="ListParagraph"/>
        <w:numPr>
          <w:ilvl w:val="0"/>
          <w:numId w:val="3"/>
        </w:numPr>
      </w:pPr>
      <w:r>
        <w:rPr>
          <w:sz w:val="22"/>
          <w:szCs w:val="22"/>
        </w:rPr>
        <w:t xml:space="preserve">Assign Customer Information File (CIF) in the Core Banking System.</w:t>
      </w:r>
    </w:p>
    <w:p>
      <w:pPr>
        <w:pStyle w:val="ListParagraph"/>
        <w:numPr>
          <w:ilvl w:val="0"/>
          <w:numId w:val="3"/>
        </w:numPr>
      </w:pPr>
      <w:r>
        <w:rPr>
          <w:sz w:val="22"/>
          <w:szCs w:val="22"/>
        </w:rPr>
        <w:t xml:space="preserve">Activate account and issue account number, kit, and access credentials.</w:t>
      </w:r>
    </w:p>
    <w:p>
      <w:pPr>
        <w:pStyle w:val="ListParagraph"/>
        <w:numPr>
          <w:ilvl w:val="0"/>
          <w:numId w:val="3"/>
        </w:numPr>
      </w:pPr>
      <w:r>
        <w:rPr>
          <w:sz w:val="22"/>
          <w:szCs w:val="22"/>
        </w:rPr>
        <w:t xml:space="preserve">Record and archive all documents in the Document Management System (DMS) within 24 hours.</w:t>
      </w:r>
    </w:p>
    <w:p>
      <w:r>
        <w:t xml:space="preserve"/>
      </w:r>
    </w:p>
    <w:p>
      <w:pPr>
        <w:pStyle w:val="Heading2"/>
      </w:pPr>
      <w:r>
        <w:rPr>
          <w:b/>
          <w:bCs/>
          <w:sz w:val="24"/>
          <w:szCs w:val="24"/>
        </w:rPr>
        <w:t xml:space="preserve">8. Risk-Based Approach</w:t>
      </w:r>
    </w:p>
    <w:p>
      <w:r>
        <w:rPr>
          <w:sz w:val="22"/>
          <w:szCs w:val="22"/>
        </w:rPr>
        <w:t xml:space="preserve">Customer risk is classified at the point of onboarding and must be reviewed periodically. Risk categories and corresponding due diligence levels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060"/>
      </w:tblGrid>
      <w:tr>
        <w:tc>
          <w:tcPr>
            <w:tcW w:type="dxa" w:w="1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Risk Category</w:t>
            </w:r>
          </w:p>
        </w:tc>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Description</w:t>
            </w:r>
          </w:p>
        </w:tc>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Due Diligence Level</w:t>
            </w:r>
          </w:p>
        </w:tc>
        <w:tc>
          <w:tcPr>
            <w:tcW w:type="dxa" w:w="20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Review Frequency</w:t>
            </w:r>
          </w:p>
        </w:tc>
      </w:tr>
      <w:tr>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Low</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Salaried individuals, government employees, pensioners with verifiable income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Standard CDD</w:t>
            </w:r>
          </w:p>
        </w:tc>
        <w:tc>
          <w:tcPr>
            <w:tcW w:type="dxa" w:w="2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Every 10 years</w:t>
            </w:r>
          </w:p>
        </w:tc>
      </w:tr>
      <w:tr>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Medium</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Self-employed, SME owners, professionals with variable income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Standard CDD with enhanced monitoring</w:t>
            </w:r>
          </w:p>
        </w:tc>
        <w:tc>
          <w:tcPr>
            <w:tcW w:type="dxa" w:w="2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Every 8 years</w:t>
            </w:r>
          </w:p>
        </w:tc>
      </w:tr>
      <w:tr>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High</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PEPs, HNIs, cash-intensive businesses, cross-border transactions</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Enhanced Due Diligence (EDD)</w:t>
            </w:r>
          </w:p>
        </w:tc>
        <w:tc>
          <w:tcPr>
            <w:tcW w:type="dxa" w:w="2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Every 2 years</w:t>
            </w:r>
          </w:p>
        </w:tc>
      </w:tr>
      <w:tr>
        <w:tc>
          <w:tcPr>
            <w:tcW w:type="dxa" w:w="1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Unacceptable</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Anonymous customers, shell companies, sanctioned entities</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Reject – do not onboard</w:t>
            </w:r>
          </w:p>
        </w:tc>
        <w:tc>
          <w:tcPr>
            <w:tcW w:type="dxa" w:w="2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w:t>
            </w:r>
          </w:p>
        </w:tc>
      </w:tr>
    </w:tbl>
    <w:p>
      <w:r>
        <w:t xml:space="preserve"/>
      </w:r>
    </w:p>
    <w:p>
      <w:pPr>
        <w:pStyle w:val="Heading2"/>
      </w:pPr>
      <w:r>
        <w:rPr>
          <w:b/>
          <w:bCs/>
          <w:sz w:val="24"/>
          <w:szCs w:val="24"/>
        </w:rPr>
        <w:t xml:space="preserve">9. Rejection Criteria</w:t>
      </w:r>
    </w:p>
    <w:p>
      <w:r>
        <w:rPr>
          <w:sz w:val="22"/>
          <w:szCs w:val="22"/>
        </w:rPr>
        <w:t xml:space="preserve">The Bank shall decline to onboard a customer in the following circumstances:</w:t>
      </w:r>
    </w:p>
    <w:p>
      <w:pPr>
        <w:pStyle w:val="ListParagraph"/>
        <w:numPr>
          <w:ilvl w:val="0"/>
          <w:numId w:val="2"/>
        </w:numPr>
      </w:pPr>
      <w:r>
        <w:rPr>
          <w:sz w:val="22"/>
          <w:szCs w:val="22"/>
        </w:rPr>
        <w:t xml:space="preserve">Customer is on any sanctions list (OFAC, UN Security Council, RBI).</w:t>
      </w:r>
    </w:p>
    <w:p>
      <w:pPr>
        <w:pStyle w:val="ListParagraph"/>
        <w:numPr>
          <w:ilvl w:val="0"/>
          <w:numId w:val="2"/>
        </w:numPr>
      </w:pPr>
      <w:r>
        <w:rPr>
          <w:sz w:val="22"/>
          <w:szCs w:val="22"/>
        </w:rPr>
        <w:t xml:space="preserve">Customer refuses to provide KYC documents or provide incomplete information.</w:t>
      </w:r>
    </w:p>
    <w:p>
      <w:pPr>
        <w:pStyle w:val="ListParagraph"/>
        <w:numPr>
          <w:ilvl w:val="0"/>
          <w:numId w:val="2"/>
        </w:numPr>
      </w:pPr>
      <w:r>
        <w:rPr>
          <w:sz w:val="22"/>
          <w:szCs w:val="22"/>
        </w:rPr>
        <w:t xml:space="preserve">Documents submitted are found to be forged, altered, or unverifiable.</w:t>
      </w:r>
    </w:p>
    <w:p>
      <w:pPr>
        <w:pStyle w:val="ListParagraph"/>
        <w:numPr>
          <w:ilvl w:val="0"/>
          <w:numId w:val="2"/>
        </w:numPr>
      </w:pPr>
      <w:r>
        <w:rPr>
          <w:sz w:val="22"/>
          <w:szCs w:val="22"/>
        </w:rPr>
        <w:t xml:space="preserve">Business activity is prohibited by law or identified as high-risk without adequate justification.</w:t>
      </w:r>
    </w:p>
    <w:p>
      <w:pPr>
        <w:pStyle w:val="ListParagraph"/>
        <w:numPr>
          <w:ilvl w:val="0"/>
          <w:numId w:val="2"/>
        </w:numPr>
      </w:pPr>
      <w:r>
        <w:rPr>
          <w:sz w:val="22"/>
          <w:szCs w:val="22"/>
        </w:rPr>
        <w:t xml:space="preserve">Customer is an anonymous entity or beneficial ownership cannot be established.</w:t>
      </w:r>
    </w:p>
    <w:p>
      <w:r>
        <w:t xml:space="preserve"/>
      </w:r>
    </w:p>
    <w:p>
      <w:pPr>
        <w:pStyle w:val="Heading2"/>
      </w:pPr>
      <w:r>
        <w:rPr>
          <w:b/>
          <w:bCs/>
          <w:sz w:val="24"/>
          <w:szCs w:val="24"/>
        </w:rPr>
        <w:t xml:space="preserve">10. Record Keeping</w:t>
      </w:r>
    </w:p>
    <w:p>
      <w:r>
        <w:rPr>
          <w:sz w:val="22"/>
          <w:szCs w:val="22"/>
        </w:rPr>
        <w:t xml:space="preserve">All KYC documents and onboarding records must be retained for a minimum of 5 years after the end of the customer relationship or 10 years from the date of transaction, whichever is later, in accordance with PMLA requirements.</w:t>
      </w:r>
    </w:p>
    <w:p>
      <w:r>
        <w:t xml:space="preserve"/>
      </w:r>
    </w:p>
    <w:p>
      <w:pPr>
        <w:pStyle w:val="Heading2"/>
      </w:pPr>
      <w:r>
        <w:rPr>
          <w:b/>
          <w:bCs/>
          <w:sz w:val="24"/>
          <w:szCs w:val="24"/>
        </w:rPr>
        <w:t xml:space="preserve">11.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Role</w:t>
            </w:r>
          </w:p>
        </w:tc>
        <w:tc>
          <w:tcPr>
            <w:tcW w:type="dxa" w:w="5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Responsibility</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Branch Manager / Relationship Manager</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Ensure completeness of documentation; first-level verification</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KYC / Compliance Team</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Sanctions screening; risk classification; EDD for high-risk customers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Operations – Account Opening Team</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CIF creation; account activation; DMS upload</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Compliance Officer</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oversight; regulatory liaison; breach reporting</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Audit</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Periodic review of onboarding process and record integrity</w:t>
            </w:r>
          </w:p>
        </w:tc>
      </w:tr>
    </w:tbl>
    <w:p>
      <w:r>
        <w:t xml:space="preserve"/>
      </w:r>
    </w:p>
    <w:p>
      <w:pPr>
        <w:pStyle w:val="Heading2"/>
      </w:pPr>
      <w:r>
        <w:rPr>
          <w:b/>
          <w:bCs/>
          <w:sz w:val="24"/>
          <w:szCs w:val="24"/>
        </w:rPr>
        <w:t xml:space="preserve">12. Training</w:t>
      </w:r>
    </w:p>
    <w:p>
      <w:r>
        <w:rPr>
          <w:sz w:val="22"/>
          <w:szCs w:val="22"/>
        </w:rPr>
        <w:t xml:space="preserve">All staff involved in customer onboarding must complete the mandatory KYC/AML training module annually. New joiners must complete training within 30 days of joining. Training records must be maintained by the HR and Compliance departments.</w:t>
      </w:r>
    </w:p>
    <w:p>
      <w:r>
        <w:t xml:space="preserve"/>
      </w:r>
    </w:p>
    <w:p>
      <w:pPr>
        <w:pStyle w:val="Heading2"/>
      </w:pPr>
      <w:r>
        <w:rPr>
          <w:b/>
          <w:bCs/>
          <w:sz w:val="24"/>
          <w:szCs w:val="24"/>
        </w:rPr>
        <w:t xml:space="preserve">13. Policy Review</w:t>
      </w:r>
    </w:p>
    <w:p>
      <w:r>
        <w:rPr>
          <w:sz w:val="22"/>
          <w:szCs w:val="22"/>
        </w:rPr>
        <w:t xml:space="preserve">This policy shall be reviewed annually or whenever there is a material change in applicable regulation. The Compliance department is responsible for initiating the review and placing it before the Board Risk &amp; Compliance Committee for approval.</w:t>
      </w:r>
    </w:p>
    <w:p>
      <w:r>
        <w:t xml:space="preserve"/>
      </w:r>
    </w:p>
    <w:p>
      <w:pPr>
        <w:pStyle w:val="Heading2"/>
      </w:pPr>
      <w:r>
        <w:rPr>
          <w:b/>
          <w:bCs/>
          <w:sz w:val="24"/>
          <w:szCs w:val="24"/>
        </w:rPr>
        <w:t xml:space="preserve">14. Exceptions</w:t>
      </w:r>
    </w:p>
    <w:p>
      <w:r>
        <w:rPr>
          <w:sz w:val="22"/>
          <w:szCs w:val="22"/>
        </w:rPr>
        <w:t xml:space="preserve">Any deviation from this policy requires written approval from the Chief Compliance Officer and must be documented with justification. Systematic exceptions require escalation to the Board Risk &amp; Compliance Committee.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2026-05-09T07:00:35.736Z</dcterms:created>
  <dcterms:modified xsi:type="dcterms:W3CDTF">2026-05-09T07:00:35.751Z</dcterms:modified>
</cp:coreProperties>
</file>

<file path=docProps/custom.xml><?xml version="1.0" encoding="utf-8"?>
<Properties xmlns="http://schemas.openxmlformats.org/officeDocument/2006/custom-properties" xmlns:vt="http://schemas.openxmlformats.org/officeDocument/2006/docPropsVTypes"/>
</file>