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Know Your Customer (KYC)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Know Your Customer (KYC)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POL-3261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Compliance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Compliance &amp; Risk</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establishes the Bank's framework for identifying, verifying, and maintaining up-to-date information about its customers. The primary objectives are to prevent the use of the Bank for money laundering, terrorist financing, and other illicit financial activities, and to comply fully with the RBI Master Direction on KYC, 2016 and associated legislation.</w:t>
      </w:r>
    </w:p>
    <w:p>
      <w:r>
        <w:t xml:space="preserve"/>
      </w:r>
    </w:p>
    <w:p>
      <w:pPr>
        <w:pStyle w:val="Heading2"/>
      </w:pPr>
      <w:r>
        <w:rPr>
          <w:b/>
          <w:bCs/>
          <w:sz w:val="24"/>
          <w:szCs w:val="24"/>
        </w:rPr>
        <w:t xml:space="preserve">2. Scope</w:t>
      </w:r>
    </w:p>
    <w:p>
      <w:r>
        <w:rPr>
          <w:sz w:val="22"/>
          <w:szCs w:val="22"/>
        </w:rPr>
        <w:t xml:space="preserve">This policy applies to all employees, agents, and third parties acting on behalf of the Bank. It covers all customer types including individuals, legal entities, and beneficial owners across all products and services offered by the Bank.</w:t>
      </w:r>
    </w:p>
    <w:p>
      <w:r>
        <w:t xml:space="preserve"/>
      </w:r>
    </w:p>
    <w:p>
      <w:pPr>
        <w:pStyle w:val="Heading2"/>
      </w:pPr>
      <w:r>
        <w:rPr>
          <w:b/>
          <w:bCs/>
          <w:sz w:val="24"/>
          <w:szCs w:val="24"/>
        </w:rPr>
        <w:t xml:space="preserve">3. Regulatory Basis</w:t>
      </w:r>
    </w:p>
    <w:p>
      <w:pPr>
        <w:pStyle w:val="ListParagraph"/>
        <w:numPr>
          <w:ilvl w:val="0"/>
          <w:numId w:val="2"/>
        </w:numPr>
      </w:pPr>
      <w:r>
        <w:rPr>
          <w:sz w:val="22"/>
          <w:szCs w:val="22"/>
        </w:rPr>
        <w:t xml:space="preserve">RBI Master Direction – KYC Direction, 2016 (updated through 2024)</w:t>
      </w:r>
    </w:p>
    <w:p>
      <w:pPr>
        <w:pStyle w:val="ListParagraph"/>
        <w:numPr>
          <w:ilvl w:val="0"/>
          <w:numId w:val="2"/>
        </w:numPr>
      </w:pPr>
      <w:r>
        <w:rPr>
          <w:sz w:val="22"/>
          <w:szCs w:val="22"/>
        </w:rPr>
        <w:t xml:space="preserve">Prevention of Money Laundering Act, 2002</w:t>
      </w:r>
    </w:p>
    <w:p>
      <w:pPr>
        <w:pStyle w:val="ListParagraph"/>
        <w:numPr>
          <w:ilvl w:val="0"/>
          <w:numId w:val="2"/>
        </w:numPr>
      </w:pPr>
      <w:r>
        <w:rPr>
          <w:sz w:val="22"/>
          <w:szCs w:val="22"/>
        </w:rPr>
        <w:t xml:space="preserve">Prevention of Money Laundering (Maintenance of Records) Rules, 2005</w:t>
      </w:r>
    </w:p>
    <w:p>
      <w:pPr>
        <w:pStyle w:val="ListParagraph"/>
        <w:numPr>
          <w:ilvl w:val="0"/>
          <w:numId w:val="2"/>
        </w:numPr>
      </w:pPr>
      <w:r>
        <w:rPr>
          <w:sz w:val="22"/>
          <w:szCs w:val="22"/>
        </w:rPr>
        <w:t xml:space="preserve">FATF Recommendations (40 Recommendations)</w:t>
      </w:r>
    </w:p>
    <w:p>
      <w:pPr>
        <w:pStyle w:val="ListParagraph"/>
        <w:numPr>
          <w:ilvl w:val="0"/>
          <w:numId w:val="2"/>
        </w:numPr>
      </w:pPr>
      <w:r>
        <w:rPr>
          <w:sz w:val="22"/>
          <w:szCs w:val="22"/>
        </w:rPr>
        <w:t xml:space="preserve">Foreign Contribution (Regulation) Act, 2010 (FCRA)</w:t>
      </w:r>
    </w:p>
    <w:p>
      <w:r>
        <w:t xml:space="preserve"/>
      </w:r>
    </w:p>
    <w:p>
      <w:pPr>
        <w:pStyle w:val="Heading2"/>
      </w:pPr>
      <w:r>
        <w:rPr>
          <w:b/>
          <w:bCs/>
          <w:sz w:val="24"/>
          <w:szCs w:val="24"/>
        </w:rPr>
        <w:t xml:space="preserve">4. KYC Elements</w:t>
      </w:r>
    </w:p>
    <w:p>
      <w:r>
        <w:rPr>
          <w:sz w:val="22"/>
          <w:szCs w:val="22"/>
        </w:rPr>
        <w:t xml:space="preserve">The Bank's KYC program consists of four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Element</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Description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Identification Program (CIP)</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Procedures to collect and verify identity information before establishing a relationship.</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Due Diligence (CDD)</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Assessment of customer risk profile including source of funds, business nature, and transaction pattern.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Enhanced Due Diligence (EDD)</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Additional scrutiny applied to high-risk customers including PEPs, HNIs, and complex structures.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Ongoing Monitoring</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Continuous review of transactions and periodic refresh of KYC information.</w:t>
            </w:r>
          </w:p>
        </w:tc>
      </w:tr>
    </w:tbl>
    <w:p>
      <w:r>
        <w:t xml:space="preserve"/>
      </w:r>
    </w:p>
    <w:p>
      <w:pPr>
        <w:pStyle w:val="Heading2"/>
      </w:pPr>
      <w:r>
        <w:rPr>
          <w:b/>
          <w:bCs/>
          <w:sz w:val="24"/>
          <w:szCs w:val="24"/>
        </w:rPr>
        <w:t xml:space="preserve">5. Officially Valid Documents (OVDs)</w:t>
      </w:r>
    </w:p>
    <w:p>
      <w:r>
        <w:rPr>
          <w:sz w:val="22"/>
          <w:szCs w:val="22"/>
        </w:rPr>
        <w:t xml:space="preserve">The following documents are recognized as OVDs under PMLA Rules:</w:t>
      </w:r>
    </w:p>
    <w:p>
      <w:pPr>
        <w:pStyle w:val="ListParagraph"/>
        <w:numPr>
          <w:ilvl w:val="0"/>
          <w:numId w:val="2"/>
        </w:numPr>
      </w:pPr>
      <w:r>
        <w:rPr>
          <w:sz w:val="22"/>
          <w:szCs w:val="22"/>
        </w:rPr>
        <w:t xml:space="preserve">Passport</w:t>
      </w:r>
    </w:p>
    <w:p>
      <w:pPr>
        <w:pStyle w:val="ListParagraph"/>
        <w:numPr>
          <w:ilvl w:val="0"/>
          <w:numId w:val="2"/>
        </w:numPr>
      </w:pPr>
      <w:r>
        <w:rPr>
          <w:sz w:val="22"/>
          <w:szCs w:val="22"/>
        </w:rPr>
        <w:t xml:space="preserve">Driving Licence</w:t>
      </w:r>
    </w:p>
    <w:p>
      <w:pPr>
        <w:pStyle w:val="ListParagraph"/>
        <w:numPr>
          <w:ilvl w:val="0"/>
          <w:numId w:val="2"/>
        </w:numPr>
      </w:pPr>
      <w:r>
        <w:rPr>
          <w:sz w:val="22"/>
          <w:szCs w:val="22"/>
        </w:rPr>
        <w:t xml:space="preserve">Proof of possession of Aadhaar Number</w:t>
      </w:r>
    </w:p>
    <w:p>
      <w:pPr>
        <w:pStyle w:val="ListParagraph"/>
        <w:numPr>
          <w:ilvl w:val="0"/>
          <w:numId w:val="2"/>
        </w:numPr>
      </w:pPr>
      <w:r>
        <w:rPr>
          <w:sz w:val="22"/>
          <w:szCs w:val="22"/>
        </w:rPr>
        <w:t xml:space="preserve">Voter Identity Card issued by Election Commission of India</w:t>
      </w:r>
    </w:p>
    <w:p>
      <w:pPr>
        <w:pStyle w:val="ListParagraph"/>
        <w:numPr>
          <w:ilvl w:val="0"/>
          <w:numId w:val="2"/>
        </w:numPr>
      </w:pPr>
      <w:r>
        <w:rPr>
          <w:sz w:val="22"/>
          <w:szCs w:val="22"/>
        </w:rPr>
        <w:t xml:space="preserve">Job Card issued by NREGA duly signed by a State Government official</w:t>
      </w:r>
    </w:p>
    <w:p>
      <w:pPr>
        <w:pStyle w:val="ListParagraph"/>
        <w:numPr>
          <w:ilvl w:val="0"/>
          <w:numId w:val="2"/>
        </w:numPr>
      </w:pPr>
      <w:r>
        <w:rPr>
          <w:sz w:val="22"/>
          <w:szCs w:val="22"/>
        </w:rPr>
        <w:t xml:space="preserve">Letter issued by the National Population Register containing details of name and address</w:t>
      </w:r>
    </w:p>
    <w:p>
      <w:r>
        <w:t xml:space="preserve"/>
      </w:r>
    </w:p>
    <w:p>
      <w:pPr>
        <w:pStyle w:val="Heading2"/>
      </w:pPr>
      <w:r>
        <w:rPr>
          <w:b/>
          <w:bCs/>
          <w:sz w:val="24"/>
          <w:szCs w:val="24"/>
        </w:rPr>
        <w:t xml:space="preserve">6. Customer Identification Procedure</w:t>
      </w:r>
    </w:p>
    <w:p>
      <w:pPr>
        <w:pStyle w:val="Heading3"/>
      </w:pPr>
      <w:r>
        <w:rPr>
          <w:b/>
          <w:bCs/>
          <w:sz w:val="22"/>
          <w:szCs w:val="22"/>
        </w:rPr>
        <w:t xml:space="preserve">6.1 Individual Customers</w:t>
      </w:r>
    </w:p>
    <w:p>
      <w:r>
        <w:rPr>
          <w:sz w:val="22"/>
          <w:szCs w:val="22"/>
        </w:rPr>
        <w:t xml:space="preserve">The Bank shall obtain and verify: full legal name, date of birth, current address, PAN or Form 60, Aadhaar number (subject to customer consent), and contact details. Verification must be done through original document inspection or certified copies.</w:t>
      </w:r>
    </w:p>
    <w:p>
      <w:r>
        <w:t xml:space="preserve"/>
      </w:r>
    </w:p>
    <w:p>
      <w:pPr>
        <w:pStyle w:val="Heading3"/>
      </w:pPr>
      <w:r>
        <w:rPr>
          <w:b/>
          <w:bCs/>
          <w:sz w:val="22"/>
          <w:szCs w:val="22"/>
        </w:rPr>
        <w:t xml:space="preserve">6.2 Non-Individual Customers</w:t>
      </w:r>
    </w:p>
    <w:p>
      <w:r>
        <w:rPr>
          <w:sz w:val="22"/>
          <w:szCs w:val="22"/>
        </w:rPr>
        <w:t xml:space="preserve">For companies, the Bank shall identify the entity and all natural persons holding more than 25% beneficial ownership or effective control. For trusts, all trustees, settlors, protectors, and beneficiaries (or class of beneficiaries) must be identified.</w:t>
      </w:r>
    </w:p>
    <w:p>
      <w:r>
        <w:t xml:space="preserve"/>
      </w:r>
    </w:p>
    <w:p>
      <w:pPr>
        <w:pStyle w:val="Heading3"/>
      </w:pPr>
      <w:r>
        <w:rPr>
          <w:b/>
          <w:bCs/>
          <w:sz w:val="22"/>
          <w:szCs w:val="22"/>
        </w:rPr>
        <w:t xml:space="preserve">6.3 Beneficial Ownership</w:t>
      </w:r>
    </w:p>
    <w:p>
      <w:r>
        <w:rPr>
          <w:sz w:val="22"/>
          <w:szCs w:val="22"/>
        </w:rPr>
        <w:t xml:space="preserve">The Bank must establish and verify the identity of the beneficial owner(s) in all cases. Where the beneficial owner is not the customer, additional documentation including declarations, shareholding structures, or trust deeds must be obtained.</w:t>
      </w:r>
    </w:p>
    <w:p>
      <w:r>
        <w:t xml:space="preserve"/>
      </w:r>
    </w:p>
    <w:p>
      <w:pPr>
        <w:pStyle w:val="Heading2"/>
      </w:pPr>
      <w:r>
        <w:rPr>
          <w:b/>
          <w:bCs/>
          <w:sz w:val="24"/>
          <w:szCs w:val="24"/>
        </w:rPr>
        <w:t xml:space="preserve">7. Periodic KYC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Risk Category</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Periodic Update Frequency</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Low Risk</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10 years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Medium Risk</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8 years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High Risk</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2 years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PEPs and Sanctioned-Adjacent</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 (or on trigger)</w:t>
            </w:r>
          </w:p>
        </w:tc>
      </w:tr>
    </w:tbl>
    <w:p>
      <w:r>
        <w:t xml:space="preserve"/>
      </w:r>
    </w:p>
    <w:p>
      <w:pPr>
        <w:pStyle w:val="Heading2"/>
      </w:pPr>
      <w:r>
        <w:rPr>
          <w:b/>
          <w:bCs/>
          <w:sz w:val="24"/>
          <w:szCs w:val="24"/>
        </w:rPr>
        <w:t xml:space="preserve">8. Aadhaar-Based KYC</w:t>
      </w:r>
    </w:p>
    <w:p>
      <w:r>
        <w:rPr>
          <w:sz w:val="22"/>
          <w:szCs w:val="22"/>
        </w:rPr>
        <w:t xml:space="preserve">The Bank may use Aadhaar-based eKYC (OTP and biometric) for identity verification subject to customer consent and applicable UIDAI regulations. Aadhaar data must not be stored beyond permissible limits. Only the last 4 digits may be recorded post-verification.</w:t>
      </w:r>
    </w:p>
    <w:p>
      <w:r>
        <w:t xml:space="preserve"/>
      </w:r>
    </w:p>
    <w:p>
      <w:pPr>
        <w:pStyle w:val="Heading2"/>
      </w:pPr>
      <w:r>
        <w:rPr>
          <w:b/>
          <w:bCs/>
          <w:sz w:val="24"/>
          <w:szCs w:val="24"/>
        </w:rPr>
        <w:t xml:space="preserve">9. Video-Based Customer Identification (V-CIP)</w:t>
      </w:r>
    </w:p>
    <w:p>
      <w:r>
        <w:rPr>
          <w:sz w:val="22"/>
          <w:szCs w:val="22"/>
        </w:rPr>
        <w:t xml:space="preserve">V-CIP may be used for accounts opened digitally. The Bank's V-CIP process must:</w:t>
      </w:r>
    </w:p>
    <w:p>
      <w:pPr>
        <w:pStyle w:val="ListParagraph"/>
        <w:numPr>
          <w:ilvl w:val="0"/>
          <w:numId w:val="2"/>
        </w:numPr>
      </w:pPr>
      <w:r>
        <w:rPr>
          <w:sz w:val="22"/>
          <w:szCs w:val="22"/>
        </w:rPr>
        <w:t xml:space="preserve">Be conducted by trained officials of the Bank.</w:t>
      </w:r>
    </w:p>
    <w:p>
      <w:pPr>
        <w:pStyle w:val="ListParagraph"/>
        <w:numPr>
          <w:ilvl w:val="0"/>
          <w:numId w:val="2"/>
        </w:numPr>
      </w:pPr>
      <w:r>
        <w:rPr>
          <w:sz w:val="22"/>
          <w:szCs w:val="22"/>
        </w:rPr>
        <w:t xml:space="preserve">Include capture of live photo and OVD in a single session.</w:t>
      </w:r>
    </w:p>
    <w:p>
      <w:pPr>
        <w:pStyle w:val="ListParagraph"/>
        <w:numPr>
          <w:ilvl w:val="0"/>
          <w:numId w:val="2"/>
        </w:numPr>
      </w:pPr>
      <w:r>
        <w:rPr>
          <w:sz w:val="22"/>
          <w:szCs w:val="22"/>
        </w:rPr>
        <w:t xml:space="preserve">Record the session and retain the video for audit purposes.</w:t>
      </w:r>
    </w:p>
    <w:p>
      <w:pPr>
        <w:pStyle w:val="ListParagraph"/>
        <w:numPr>
          <w:ilvl w:val="0"/>
          <w:numId w:val="2"/>
        </w:numPr>
      </w:pPr>
      <w:r>
        <w:rPr>
          <w:sz w:val="22"/>
          <w:szCs w:val="22"/>
        </w:rPr>
        <w:t xml:space="preserve">Verify geo-location to confirm the customer is in India.</w:t>
      </w:r>
    </w:p>
    <w:p>
      <w:pPr>
        <w:pStyle w:val="ListParagraph"/>
        <w:numPr>
          <w:ilvl w:val="0"/>
          <w:numId w:val="2"/>
        </w:numPr>
      </w:pPr>
      <w:r>
        <w:rPr>
          <w:sz w:val="22"/>
          <w:szCs w:val="22"/>
        </w:rPr>
        <w:t xml:space="preserve">Cross-check with officially valid documents in real time.</w:t>
      </w:r>
    </w:p>
    <w:p>
      <w:r>
        <w:t xml:space="preserve"/>
      </w:r>
    </w:p>
    <w:p>
      <w:pPr>
        <w:pStyle w:val="Heading2"/>
      </w:pPr>
      <w:r>
        <w:rPr>
          <w:b/>
          <w:bCs/>
          <w:sz w:val="24"/>
          <w:szCs w:val="24"/>
        </w:rPr>
        <w:t xml:space="preserve">10. Politically Exposed Persons (PEPs)</w:t>
      </w:r>
    </w:p>
    <w:p>
      <w:r>
        <w:rPr>
          <w:sz w:val="22"/>
          <w:szCs w:val="22"/>
        </w:rPr>
        <w:t xml:space="preserve">PEPs are individuals who are or have been entrusted with prominent public functions by a foreign country. The Bank's obligations for PEPs include:</w:t>
      </w:r>
    </w:p>
    <w:p>
      <w:pPr>
        <w:pStyle w:val="ListParagraph"/>
        <w:numPr>
          <w:ilvl w:val="0"/>
          <w:numId w:val="2"/>
        </w:numPr>
      </w:pPr>
      <w:r>
        <w:rPr>
          <w:sz w:val="22"/>
          <w:szCs w:val="22"/>
        </w:rPr>
        <w:t xml:space="preserve">Identification of PEP status at onboarding and via periodic screening.</w:t>
      </w:r>
    </w:p>
    <w:p>
      <w:pPr>
        <w:pStyle w:val="ListParagraph"/>
        <w:numPr>
          <w:ilvl w:val="0"/>
          <w:numId w:val="2"/>
        </w:numPr>
      </w:pPr>
      <w:r>
        <w:rPr>
          <w:sz w:val="22"/>
          <w:szCs w:val="22"/>
        </w:rPr>
        <w:t xml:space="preserve">Mandatory senior management approval prior to onboarding a PEP.</w:t>
      </w:r>
    </w:p>
    <w:p>
      <w:pPr>
        <w:pStyle w:val="ListParagraph"/>
        <w:numPr>
          <w:ilvl w:val="0"/>
          <w:numId w:val="2"/>
        </w:numPr>
      </w:pPr>
      <w:r>
        <w:rPr>
          <w:sz w:val="22"/>
          <w:szCs w:val="22"/>
        </w:rPr>
        <w:t xml:space="preserve">Application of Enhanced Due Diligence measures.</w:t>
      </w:r>
    </w:p>
    <w:p>
      <w:pPr>
        <w:pStyle w:val="ListParagraph"/>
        <w:numPr>
          <w:ilvl w:val="0"/>
          <w:numId w:val="2"/>
        </w:numPr>
      </w:pPr>
      <w:r>
        <w:rPr>
          <w:sz w:val="22"/>
          <w:szCs w:val="22"/>
        </w:rPr>
        <w:t xml:space="preserve">Enhanced ongoing transaction monitoring.</w:t>
      </w:r>
    </w:p>
    <w:p>
      <w:pPr>
        <w:pStyle w:val="ListParagraph"/>
        <w:numPr>
          <w:ilvl w:val="0"/>
          <w:numId w:val="2"/>
        </w:numPr>
      </w:pPr>
      <w:r>
        <w:rPr>
          <w:sz w:val="22"/>
          <w:szCs w:val="22"/>
        </w:rPr>
        <w:t xml:space="preserve">Annual review of PEP status.</w:t>
      </w:r>
    </w:p>
    <w:p>
      <w:r>
        <w:t xml:space="preserve"/>
      </w:r>
    </w:p>
    <w:p>
      <w:pPr>
        <w:pStyle w:val="Heading2"/>
      </w:pPr>
      <w:r>
        <w:rPr>
          <w:b/>
          <w:bCs/>
          <w:sz w:val="24"/>
          <w:szCs w:val="24"/>
        </w:rPr>
        <w:t xml:space="preserve">11. Correspondent Banking</w:t>
      </w:r>
    </w:p>
    <w:p>
      <w:r>
        <w:rPr>
          <w:sz w:val="22"/>
          <w:szCs w:val="22"/>
        </w:rPr>
        <w:t xml:space="preserve">The Bank shall not establish or maintain correspondent banking relationships with shell banks. For all correspondent relationships, the Bank shall conduct due diligence equivalent to EDD and obtain senior management approval. Payable-through accounts require prior RBI approval.</w:t>
      </w:r>
    </w:p>
    <w:p>
      <w:r>
        <w:t xml:space="preserve"/>
      </w:r>
    </w:p>
    <w:p>
      <w:pPr>
        <w:pStyle w:val="Heading2"/>
      </w:pPr>
      <w:r>
        <w:rPr>
          <w:b/>
          <w:bCs/>
          <w:sz w:val="24"/>
          <w:szCs w:val="24"/>
        </w:rPr>
        <w:t xml:space="preserve">12. Record Keeping</w:t>
      </w:r>
    </w:p>
    <w:p>
      <w:r>
        <w:rPr>
          <w:sz w:val="22"/>
          <w:szCs w:val="22"/>
        </w:rPr>
        <w:t xml:space="preserve">All KYC records including identification documents, risk assessments, and transaction records must be maintained for the greater of 5 years post-relationship closure or 10 years post-transaction, in accordance with PMLA requirements.</w:t>
      </w:r>
    </w:p>
    <w:p>
      <w:r>
        <w:t xml:space="preserve"/>
      </w:r>
    </w:p>
    <w:p>
      <w:pPr>
        <w:pStyle w:val="Heading2"/>
      </w:pPr>
      <w:r>
        <w:rPr>
          <w:b/>
          <w:bCs/>
          <w:sz w:val="24"/>
          <w:szCs w:val="24"/>
        </w:rPr>
        <w:t xml:space="preserve">13. Non-Cooperation by Customer</w:t>
      </w:r>
    </w:p>
    <w:p>
      <w:r>
        <w:rPr>
          <w:sz w:val="22"/>
          <w:szCs w:val="22"/>
        </w:rPr>
        <w:t xml:space="preserve">If an existing customer fails to provide updated KYC information within the stipulated timeframe, the Bank shall:</w:t>
      </w:r>
    </w:p>
    <w:p>
      <w:pPr>
        <w:pStyle w:val="ListParagraph"/>
        <w:numPr>
          <w:ilvl w:val="0"/>
          <w:numId w:val="3"/>
        </w:numPr>
      </w:pPr>
      <w:r>
        <w:rPr>
          <w:sz w:val="22"/>
          <w:szCs w:val="22"/>
        </w:rPr>
        <w:t xml:space="preserve">Issue reminder notices at 30, 60, and 90 days.</w:t>
      </w:r>
    </w:p>
    <w:p>
      <w:pPr>
        <w:pStyle w:val="ListParagraph"/>
        <w:numPr>
          <w:ilvl w:val="0"/>
          <w:numId w:val="3"/>
        </w:numPr>
      </w:pPr>
      <w:r>
        <w:rPr>
          <w:sz w:val="22"/>
          <w:szCs w:val="22"/>
        </w:rPr>
        <w:t xml:space="preserve">Impose restrictions on debit transactions after 90 days of non-compliance.</w:t>
      </w:r>
    </w:p>
    <w:p>
      <w:pPr>
        <w:pStyle w:val="ListParagraph"/>
        <w:numPr>
          <w:ilvl w:val="0"/>
          <w:numId w:val="3"/>
        </w:numPr>
      </w:pPr>
      <w:r>
        <w:rPr>
          <w:sz w:val="22"/>
          <w:szCs w:val="22"/>
        </w:rPr>
        <w:t xml:space="preserve">Close the account after 180 days if non-cooperation persists, subject to applicable law.</w:t>
      </w:r>
    </w:p>
    <w:p>
      <w:r>
        <w:t xml:space="preserve"/>
      </w:r>
    </w:p>
    <w:p>
      <w:pPr>
        <w:pStyle w:val="Heading2"/>
      </w:pPr>
      <w:r>
        <w:rPr>
          <w:b/>
          <w:bCs/>
          <w:sz w:val="24"/>
          <w:szCs w:val="24"/>
        </w:rPr>
        <w:t xml:space="preserve">14. Governance</w:t>
      </w:r>
    </w:p>
    <w:p>
      <w:r>
        <w:rPr>
          <w:sz w:val="22"/>
          <w:szCs w:val="22"/>
        </w:rPr>
        <w:t xml:space="preserve">The Chief Compliance Officer is responsible for implementation and oversight of this policy. The Board Risk &amp; Compliance Committee receives quarterly KYC compliance reports including KYC refresh rates, customer risk distribution, and exception metrics.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2026-05-09T07:00:36.018Z</dcterms:created>
  <dcterms:modified xsi:type="dcterms:W3CDTF">2026-05-09T07:00:36.018Z</dcterms:modified>
</cp:coreProperties>
</file>

<file path=docProps/custom.xml><?xml version="1.0" encoding="utf-8"?>
<Properties xmlns="http://schemas.openxmlformats.org/officeDocument/2006/custom-properties" xmlns:vt="http://schemas.openxmlformats.org/officeDocument/2006/docPropsVTypes"/>
</file>