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Customer Identification Program (CIP)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Identification Program (CIP)</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POL-9068</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Compliance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Compliance &amp; Risk</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document defines the Bank's Customer Identification Program (CIP), which establishes the minimum procedures for collecting and verifying identity information for every customer. The CIP is a component of the broader KYC Policy and serves as the entry control for all customer relationships.</w:t>
      </w:r>
    </w:p>
    <w:p>
      <w:r>
        <w:t xml:space="preserve"/>
      </w:r>
    </w:p>
    <w:p>
      <w:pPr>
        <w:pStyle w:val="Heading2"/>
      </w:pPr>
      <w:r>
        <w:rPr>
          <w:b/>
          <w:bCs/>
          <w:sz w:val="24"/>
          <w:szCs w:val="24"/>
        </w:rPr>
        <w:t xml:space="preserve">2. Scope</w:t>
      </w:r>
    </w:p>
    <w:p>
      <w:r>
        <w:rPr>
          <w:sz w:val="22"/>
          <w:szCs w:val="22"/>
        </w:rPr>
        <w:t xml:space="preserve">This program applies at the point of account opening or the initiation of any banking relationship. It applies to all products including savings accounts, current accounts, fixed deposits, loans, credit cards, and investment products.</w:t>
      </w:r>
    </w:p>
    <w:p>
      <w:r>
        <w:t xml:space="preserve"/>
      </w:r>
    </w:p>
    <w:p>
      <w:pPr>
        <w:pStyle w:val="Heading2"/>
      </w:pPr>
      <w:r>
        <w:rPr>
          <w:b/>
          <w:bCs/>
          <w:sz w:val="24"/>
          <w:szCs w:val="24"/>
        </w:rPr>
        <w:t xml:space="preserve">3. Information Collection Requirements</w:t>
      </w:r>
    </w:p>
    <w:p>
      <w:pPr>
        <w:pStyle w:val="Heading3"/>
      </w:pPr>
      <w:r>
        <w:rPr>
          <w:b/>
          <w:bCs/>
          <w:sz w:val="22"/>
          <w:szCs w:val="22"/>
        </w:rPr>
        <w:t xml:space="preserve">3.1 Individual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Information Field</w:t>
            </w:r>
          </w:p>
        </w:tc>
        <w:tc>
          <w:tcPr>
            <w:tcW w:type="dxa" w:w="1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Mandatory</w:t>
            </w:r>
          </w:p>
        </w:tc>
        <w:tc>
          <w:tcPr>
            <w:tcW w:type="dxa" w:w="40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Source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Full Legal Name (as per OVD)</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OVD / 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Date of Birth</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OVD / 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Current Residential Address</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OVD / Address Proof</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Number or Form 60</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Card / Self-declaration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Aadhaar Number (with consent)</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Aadhaar Card / eKYC</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Mobile Number (active)</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Email Address</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Recommended</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Nationality</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Passport / 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Gender</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Occupation / Source of Income</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Application Form / Supporting Docs</w:t>
            </w:r>
          </w:p>
        </w:tc>
      </w:tr>
    </w:tbl>
    <w:p>
      <w:r>
        <w:t xml:space="preserve"/>
      </w:r>
    </w:p>
    <w:p>
      <w:pPr>
        <w:pStyle w:val="Heading3"/>
      </w:pPr>
      <w:r>
        <w:rPr>
          <w:b/>
          <w:bCs/>
          <w:sz w:val="22"/>
          <w:szCs w:val="22"/>
        </w:rPr>
        <w:t xml:space="preserve">3.2 Non-Individual / Legal Entity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Information Field</w:t>
            </w:r>
          </w:p>
        </w:tc>
        <w:tc>
          <w:tcPr>
            <w:tcW w:type="dxa" w:w="1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Mandatory</w:t>
            </w:r>
          </w:p>
        </w:tc>
        <w:tc>
          <w:tcPr>
            <w:tcW w:type="dxa" w:w="40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Source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Legal Name of Entity</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Certificate of Incorporation / Registration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Type of Legal Entity</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COI / Registration Certificate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Registered Address</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COI / Utility Bill / Lease Agreement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Principal Place of Business</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Resolution / Application Form</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Date of Incorporation / Registration</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COI</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Identification Number (CIN / LLPIN / Trust Reg. No.)</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Regulatory Certificate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Nature of Business / Principal Activity</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MOA / Partnership Deed / Application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of Entity</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Card</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Beneficial Owners (&gt;25% ownership/control)</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Shareholding Structure / Declaration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Authorized Signatories</w:t>
            </w:r>
          </w:p>
        </w:tc>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Yes</w:t>
            </w:r>
          </w:p>
        </w:tc>
        <w:tc>
          <w:tcPr>
            <w:tcW w:type="dxa" w:w="4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Resolution / POA</w:t>
            </w:r>
          </w:p>
        </w:tc>
      </w:tr>
    </w:tbl>
    <w:p>
      <w:r>
        <w:t xml:space="preserve"/>
      </w:r>
    </w:p>
    <w:p>
      <w:pPr>
        <w:pStyle w:val="Heading2"/>
      </w:pPr>
      <w:r>
        <w:rPr>
          <w:b/>
          <w:bCs/>
          <w:sz w:val="24"/>
          <w:szCs w:val="24"/>
        </w:rPr>
        <w:t xml:space="preserve">4. Verification Methods</w:t>
      </w:r>
    </w:p>
    <w:p>
      <w:pPr>
        <w:pStyle w:val="Heading3"/>
      </w:pPr>
      <w:r>
        <w:rPr>
          <w:b/>
          <w:bCs/>
          <w:sz w:val="22"/>
          <w:szCs w:val="22"/>
        </w:rPr>
        <w:t xml:space="preserve">4.1 Documentary Verification</w:t>
      </w:r>
    </w:p>
    <w:p>
      <w:r>
        <w:rPr>
          <w:sz w:val="22"/>
          <w:szCs w:val="22"/>
        </w:rPr>
        <w:t xml:space="preserve">The Bank shall verify identity through inspection of original OVDs or certified copies. Staff must compare the applicant's physical appearance with photograph on OVD for in-person interactions. Document numbers and expiry dates must be recorded.</w:t>
      </w:r>
    </w:p>
    <w:p>
      <w:r>
        <w:t xml:space="preserve"/>
      </w:r>
    </w:p>
    <w:p>
      <w:pPr>
        <w:pStyle w:val="Heading3"/>
      </w:pPr>
      <w:r>
        <w:rPr>
          <w:b/>
          <w:bCs/>
          <w:sz w:val="22"/>
          <w:szCs w:val="22"/>
        </w:rPr>
        <w:t xml:space="preserve">4.2 Non-Documentary Verification</w:t>
      </w:r>
    </w:p>
    <w:p>
      <w:r>
        <w:rPr>
          <w:sz w:val="22"/>
          <w:szCs w:val="22"/>
        </w:rPr>
        <w:t xml:space="preserve">Where OVDs cannot fully establish identity, the Bank may supplement with:</w:t>
      </w:r>
    </w:p>
    <w:p>
      <w:pPr>
        <w:pStyle w:val="ListParagraph"/>
        <w:numPr>
          <w:ilvl w:val="0"/>
          <w:numId w:val="2"/>
        </w:numPr>
      </w:pPr>
      <w:r>
        <w:rPr>
          <w:sz w:val="22"/>
          <w:szCs w:val="22"/>
        </w:rPr>
        <w:t xml:space="preserve">Cross-checking with third-party databases (e.g., MCA21, Income Tax database, CERSAI).</w:t>
      </w:r>
    </w:p>
    <w:p>
      <w:pPr>
        <w:pStyle w:val="ListParagraph"/>
        <w:numPr>
          <w:ilvl w:val="0"/>
          <w:numId w:val="2"/>
        </w:numPr>
      </w:pPr>
      <w:r>
        <w:rPr>
          <w:sz w:val="22"/>
          <w:szCs w:val="22"/>
        </w:rPr>
        <w:t xml:space="preserve">Reference from an existing verified customer.</w:t>
      </w:r>
    </w:p>
    <w:p>
      <w:pPr>
        <w:pStyle w:val="ListParagraph"/>
        <w:numPr>
          <w:ilvl w:val="0"/>
          <w:numId w:val="2"/>
        </w:numPr>
      </w:pPr>
      <w:r>
        <w:rPr>
          <w:sz w:val="22"/>
          <w:szCs w:val="22"/>
        </w:rPr>
        <w:t xml:space="preserve">Calling the customer at a number listed in a public directory.</w:t>
      </w:r>
    </w:p>
    <w:p>
      <w:pPr>
        <w:pStyle w:val="ListParagraph"/>
        <w:numPr>
          <w:ilvl w:val="0"/>
          <w:numId w:val="2"/>
        </w:numPr>
      </w:pPr>
      <w:r>
        <w:rPr>
          <w:sz w:val="22"/>
          <w:szCs w:val="22"/>
        </w:rPr>
        <w:t xml:space="preserve">Checking credit bureau records where permissible.</w:t>
      </w:r>
    </w:p>
    <w:p>
      <w:r>
        <w:t xml:space="preserve"/>
      </w:r>
    </w:p>
    <w:p>
      <w:pPr>
        <w:pStyle w:val="Heading3"/>
      </w:pPr>
      <w:r>
        <w:rPr>
          <w:b/>
          <w:bCs/>
          <w:sz w:val="22"/>
          <w:szCs w:val="22"/>
        </w:rPr>
        <w:t xml:space="preserve">4.3 Electronic / Aadhaar-Based Verification</w:t>
      </w:r>
    </w:p>
    <w:p>
      <w:r>
        <w:rPr>
          <w:sz w:val="22"/>
          <w:szCs w:val="22"/>
        </w:rPr>
        <w:t xml:space="preserve">eKYC via Aadhaar is acceptable for CIP purposes subject to UIDAI authentication. OTP-based Aadhaar eKYC may be used for Basic Savings Bank Deposit Accounts (BSBDA) and accounts with transaction limits. Biometric Aadhaar eKYC is acceptable for full-feature accounts.</w:t>
      </w:r>
    </w:p>
    <w:p>
      <w:r>
        <w:t xml:space="preserve"/>
      </w:r>
    </w:p>
    <w:p>
      <w:pPr>
        <w:pStyle w:val="Heading2"/>
      </w:pPr>
      <w:r>
        <w:rPr>
          <w:b/>
          <w:bCs/>
          <w:sz w:val="24"/>
          <w:szCs w:val="24"/>
        </w:rPr>
        <w:t xml:space="preserve">5. Timing of Verification</w:t>
      </w:r>
    </w:p>
    <w:p>
      <w:r>
        <w:rPr>
          <w:sz w:val="22"/>
          <w:szCs w:val="22"/>
        </w:rPr>
        <w:t xml:space="preserve">Identity verification must be completed before the account is activated and before any transaction is permitted. In exceptional circumstances where verification cannot be completed prior to account opening (e.g., postal/courier-based documentation), the account may be activated provisionally with a credit-only restriction, pending verification within 30 days.</w:t>
      </w:r>
    </w:p>
    <w:p>
      <w:r>
        <w:t xml:space="preserve"/>
      </w:r>
    </w:p>
    <w:p>
      <w:pPr>
        <w:pStyle w:val="Heading2"/>
      </w:pPr>
      <w:r>
        <w:rPr>
          <w:b/>
          <w:bCs/>
          <w:sz w:val="24"/>
          <w:szCs w:val="24"/>
        </w:rPr>
        <w:t xml:space="preserve">6. Accounts for Minors</w:t>
      </w:r>
    </w:p>
    <w:p>
      <w:r>
        <w:rPr>
          <w:sz w:val="22"/>
          <w:szCs w:val="22"/>
        </w:rPr>
        <w:t xml:space="preserve">Accounts for minors must be operated by a natural guardian or court-appointed guardian whose full CIP verification must be completed. Upon the minor attaining majority, the account must be re-verified and operated independently.</w:t>
      </w:r>
    </w:p>
    <w:p>
      <w:r>
        <w:t xml:space="preserve"/>
      </w:r>
    </w:p>
    <w:p>
      <w:pPr>
        <w:pStyle w:val="Heading2"/>
      </w:pPr>
      <w:r>
        <w:rPr>
          <w:b/>
          <w:bCs/>
          <w:sz w:val="24"/>
          <w:szCs w:val="24"/>
        </w:rPr>
        <w:t xml:space="preserve">7. Inability to Verify</w:t>
      </w:r>
    </w:p>
    <w:p>
      <w:r>
        <w:rPr>
          <w:sz w:val="22"/>
          <w:szCs w:val="22"/>
        </w:rPr>
        <w:t xml:space="preserve">If the Bank is unable to verify a customer's identity within the prescribed timeframe, it shall:</w:t>
      </w:r>
    </w:p>
    <w:p>
      <w:pPr>
        <w:pStyle w:val="ListParagraph"/>
        <w:numPr>
          <w:ilvl w:val="0"/>
          <w:numId w:val="2"/>
        </w:numPr>
      </w:pPr>
      <w:r>
        <w:rPr>
          <w:sz w:val="22"/>
          <w:szCs w:val="22"/>
        </w:rPr>
        <w:t xml:space="preserve">Not open the account; or</w:t>
      </w:r>
    </w:p>
    <w:p>
      <w:pPr>
        <w:pStyle w:val="ListParagraph"/>
        <w:numPr>
          <w:ilvl w:val="0"/>
          <w:numId w:val="2"/>
        </w:numPr>
      </w:pPr>
      <w:r>
        <w:rPr>
          <w:sz w:val="22"/>
          <w:szCs w:val="22"/>
        </w:rPr>
        <w:t xml:space="preserve">If opened provisionally, close the account and refund any credits after obtaining necessary regulatory approvals.</w:t>
      </w:r>
    </w:p>
    <w:p>
      <w:pPr>
        <w:pStyle w:val="ListParagraph"/>
        <w:numPr>
          <w:ilvl w:val="0"/>
          <w:numId w:val="2"/>
        </w:numPr>
      </w:pPr>
      <w:r>
        <w:rPr>
          <w:sz w:val="22"/>
          <w:szCs w:val="22"/>
        </w:rPr>
        <w:t xml:space="preserve">File a Suspicious Transaction Report (STR) with FIU-IND if the circumstances of the verification failure are suspicious.</w:t>
      </w:r>
    </w:p>
    <w:p>
      <w:r>
        <w:t xml:space="preserve"/>
      </w:r>
    </w:p>
    <w:p>
      <w:pPr>
        <w:pStyle w:val="Heading2"/>
      </w:pPr>
      <w:r>
        <w:rPr>
          <w:b/>
          <w:bCs/>
          <w:sz w:val="24"/>
          <w:szCs w:val="24"/>
        </w:rPr>
        <w:t xml:space="preserve">8. Reliance on Third Parties</w:t>
      </w:r>
    </w:p>
    <w:p>
      <w:r>
        <w:rPr>
          <w:sz w:val="22"/>
          <w:szCs w:val="22"/>
        </w:rPr>
        <w:t xml:space="preserve">The Bank may rely on CIP conducted by a regulated third party (e.g., another scheduled bank, SEBI-registered entity) subject to the following conditions:</w:t>
      </w:r>
    </w:p>
    <w:p>
      <w:pPr>
        <w:pStyle w:val="ListParagraph"/>
        <w:numPr>
          <w:ilvl w:val="0"/>
          <w:numId w:val="2"/>
        </w:numPr>
      </w:pPr>
      <w:r>
        <w:rPr>
          <w:sz w:val="22"/>
          <w:szCs w:val="22"/>
        </w:rPr>
        <w:t xml:space="preserve">A written agreement governs the reliance arrangement.</w:t>
      </w:r>
    </w:p>
    <w:p>
      <w:pPr>
        <w:pStyle w:val="ListParagraph"/>
        <w:numPr>
          <w:ilvl w:val="0"/>
          <w:numId w:val="2"/>
        </w:numPr>
      </w:pPr>
      <w:r>
        <w:rPr>
          <w:sz w:val="22"/>
          <w:szCs w:val="22"/>
        </w:rPr>
        <w:t xml:space="preserve">The third party is regulated and supervised.</w:t>
      </w:r>
    </w:p>
    <w:p>
      <w:pPr>
        <w:pStyle w:val="ListParagraph"/>
        <w:numPr>
          <w:ilvl w:val="0"/>
          <w:numId w:val="2"/>
        </w:numPr>
      </w:pPr>
      <w:r>
        <w:rPr>
          <w:sz w:val="22"/>
          <w:szCs w:val="22"/>
        </w:rPr>
        <w:t xml:space="preserve">The Bank can obtain relevant CIP information on demand.</w:t>
      </w:r>
    </w:p>
    <w:p>
      <w:pPr>
        <w:pStyle w:val="ListParagraph"/>
        <w:numPr>
          <w:ilvl w:val="0"/>
          <w:numId w:val="2"/>
        </w:numPr>
      </w:pPr>
      <w:r>
        <w:rPr>
          <w:sz w:val="22"/>
          <w:szCs w:val="22"/>
        </w:rPr>
        <w:t xml:space="preserve">Regulatory responsibility remains with the Bank at all times.</w:t>
      </w:r>
    </w:p>
    <w:p>
      <w:r>
        <w:t xml:space="preserve"/>
      </w:r>
    </w:p>
    <w:p>
      <w:pPr>
        <w:pStyle w:val="Heading2"/>
      </w:pPr>
      <w:r>
        <w:rPr>
          <w:b/>
          <w:bCs/>
          <w:sz w:val="24"/>
          <w:szCs w:val="24"/>
        </w:rPr>
        <w:t xml:space="preserve">9. Record Retention</w:t>
      </w:r>
    </w:p>
    <w:p>
      <w:r>
        <w:rPr>
          <w:sz w:val="22"/>
          <w:szCs w:val="22"/>
        </w:rPr>
        <w:t xml:space="preserve">All CIP records including collected information and verification method/result must be retained for a minimum of 5 years after the account is closed.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2026-05-09T07:00:36.052Z</dcterms:created>
  <dcterms:modified xsi:type="dcterms:W3CDTF">2026-05-09T07:00:36.052Z</dcterms:modified>
</cp:coreProperties>
</file>

<file path=docProps/custom.xml><?xml version="1.0" encoding="utf-8"?>
<Properties xmlns="http://schemas.openxmlformats.org/officeDocument/2006/custom-properties" xmlns:vt="http://schemas.openxmlformats.org/officeDocument/2006/docPropsVTypes"/>
</file>