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Enhanced Due Diligence (EDD)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Enhanced Due Diligence (EDD)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POL-8988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Chief Compliance Officer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&amp; Risk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sets out the Enhanced Due Diligence (EDD) requirements applicable to high-risk customers of the Bank. EDD involves more intensive scrutiny of the customer relationship, source of wealth, and transaction activity, beyond what is required under standard CDD.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Customers Subject to EDD</w:t>
      </w:r>
    </w:p>
    <w:p>
      <w:r>
        <w:rPr>
          <w:sz w:val="22"/>
          <w:szCs w:val="22"/>
        </w:rPr>
        <w:t xml:space="preserve">EDD is mandatory for the following customer categories: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Politically Exposed Persons (PEPs) – domestic and foreign – and their family members and close associates.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Net Worth Individuals (HNIs) with net worth exceeding INR 25 crore or maintaining account balances above INR 10 crore.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Non-Resident Indians (NRIs) with business interests in FATF grey- or black-listed jurisdictions.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Cash-intensive businesses (jewellers, money changers, real estate developers, auction houses).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Non-profit organizations (NPOs) and charitable trusts receiving foreign contributions.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Correspondent banking counterparties.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Customers with complex corporate structures or multiple layers of beneficial ownership.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Customers flagged as high-risk under the Bank's CDD risk scoring model (score 61–100).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customer flagged by law enforcement, regulatory body, or internal alert.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EDD Measures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3.1 Identity and Ownership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Obtain additional identity documents beyond minimum OVD requirements.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beneficial ownership to at least two levels of the corporate structure.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Obtain audited financial statements or wealth declarations.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 independent verification of identity via third-party database or on-site visit where warranted.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3.2 Source of Wealth and Funds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Obtain a signed Source of Wealth (SoW) declaration.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Corroborate SoW with supporting documentation (salary slips, investment portfolio statements, inheritance documents, audited accounts).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 internet and media searches for adverse information.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feasible, obtain confirmation of wealth from a regulated third party (e.g., private bank, CA firm).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3.3 Transaction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enhanced monitoring rules in the Bank's AML transaction monitoring system.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lower threshold alerts for cash transactions and international transfers.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first 90 days of transactions at Day 30 and Day 90.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 semi-annual or annual relationship reviews including transaction pattern analysis.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3.4 Approval and Oversight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EDD customer relationships require approval of the Business Head and Compliance.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PEP relationships additionally require CCO sign-off and notification to MD/CEO.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Ongoing EDD customer relationships must be reviewed and re-approved annually by the same level.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Adverse Media Screening</w:t>
      </w:r>
    </w:p>
    <w:p>
      <w:r>
        <w:rPr>
          <w:sz w:val="22"/>
          <w:szCs w:val="22"/>
        </w:rPr>
        <w:t xml:space="preserve">All EDD customers must be screened against adverse media at onboarding and at every annual review. Adverse media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Criminal investigations or convictions including financial crimes, corruption, bribery.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Regulatory sanctions or enforcement actions.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Association with known criminals, terrorist groups, or sanctioned entities.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Negative coverage in credible news sources regarding business practices.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PEP-Specific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Domestic PEP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Foreign PEP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Mandatory at onboarding and via periodic screening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Mandatory at onboarding and via periodic screening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Head + Compliance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CCO + MD/CEO notification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of Wealth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Mandatory with corroboration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Mandatory with independent corroboration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Monitoring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Enhanced – lower thresholds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Enhanced – lower thresholds + country risk overlay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Relationship Continuation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senior management re-approval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CCO re-approval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Exit from EDD</w:t>
      </w:r>
    </w:p>
    <w:p>
      <w:r>
        <w:rPr>
          <w:sz w:val="22"/>
          <w:szCs w:val="22"/>
        </w:rPr>
        <w:t xml:space="preserve">A customer may be reclassified from EDD to standard CDD only if: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circumstances that triggered EDD no longer apply (e.g., PEP leaves public office for more than 12 months and poses no residual risk).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 score has materially improved over at least two consecutive review periods.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CCO provides written approval for reclassification.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Refusal and Exit</w:t>
      </w:r>
    </w:p>
    <w:p>
      <w:r>
        <w:rPr>
          <w:sz w:val="22"/>
          <w:szCs w:val="22"/>
        </w:rPr>
        <w:t xml:space="preserve">The Bank shall exit or refuse to establish an EDD relationship where: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Sufficient EDD information cannot be obtained.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risk profile is assessed as unacceptable after EDD.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Continuation of the relationship would pose unacceptable reputational, legal, or regulatory risk.</w:t>
      </w:r>
    </w:p>
    <w:p>
      <w:r>
        <w:rPr>
          <w:sz w:val="22"/>
          <w:szCs w:val="22"/>
        </w:rPr>
        <w:t xml:space="preserve">Exit must follow the Account Closure Policy. Where suspicious activity is identified during EDD, an STR must be filed with FIU-IND regardless of whether the relationship is exited.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Record Keeping</w:t>
      </w:r>
    </w:p>
    <w:p>
      <w:r>
        <w:rPr>
          <w:sz w:val="22"/>
          <w:szCs w:val="22"/>
        </w:rPr>
        <w:t xml:space="preserve">All EDD documentation including SoW declarations, corroborating evidence, approval records, and transaction review outputs must be retained for a minimum of 10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2026-05-09T07:00:36.207Z</dcterms:created>
  <dcterms:modified xsi:type="dcterms:W3CDTF">2026-05-09T07:00:36.207Z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