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28"/>
          <w:szCs w:val="28"/>
        </w:rPr>
        <w:t xml:space="preserve">Dormant / Inoperative Account Policy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Field</w:t>
            </w:r>
          </w:p>
        </w:tc>
        <w:tc>
          <w:tcPr>
            <w:tcW w:type="dxa" w:w="63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Details</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Document Title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Dormant / Inoperative Account Policy</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Policy Number</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POL-1816</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Version</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1.3</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Effective Date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01 April 2025</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Review Cycle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Annual</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Policy Owner</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Head – Retail Banking Operations</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Department</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Operations</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Approved By</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Board Risk &amp; Compliance Committee</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Classification</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Internal – Restricted</w:t>
            </w:r>
          </w:p>
        </w:tc>
      </w:tr>
    </w:tbl>
    <w:p>
      <w:r>
        <w:t xml:space="preserve"/>
      </w:r>
    </w:p>
    <w:p>
      <w:pPr>
        <w:pStyle w:val="Heading2"/>
      </w:pPr>
      <w:r>
        <w:rPr>
          <w:b/>
          <w:bCs/>
          <w:sz w:val="24"/>
          <w:szCs w:val="24"/>
        </w:rPr>
        <w:t xml:space="preserve">1. Purpose</w:t>
      </w:r>
    </w:p>
    <w:p>
      <w:r>
        <w:rPr>
          <w:sz w:val="22"/>
          <w:szCs w:val="22"/>
        </w:rPr>
        <w:t xml:space="preserve">This policy establishes the framework for identifying, classifying, managing, and reactivating dormant and inoperative accounts, and for the transfer of unclaimed deposits to the Depositor Education and Awareness (DEA) Fund maintained by the Reserve Bank of India.</w:t>
      </w:r>
    </w:p>
    <w:p>
      <w:r>
        <w:t xml:space="preserve"/>
      </w:r>
    </w:p>
    <w:p>
      <w:pPr>
        <w:pStyle w:val="Heading2"/>
      </w:pPr>
      <w:r>
        <w:rPr>
          <w:b/>
          <w:bCs/>
          <w:sz w:val="24"/>
          <w:szCs w:val="24"/>
        </w:rPr>
        <w:t xml:space="preserve">2.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Term</w:t>
            </w:r>
          </w:p>
        </w:tc>
        <w:tc>
          <w:tcPr>
            <w:tcW w:type="dxa" w:w="63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Definition</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Inoperative Account</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 savings or current account where there have been no customer-initiated transactions for a period of 24 months.</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Dormant Account</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An inoperative account that has remained without customer-initiated transactions for 24 months or more. In practice the Bank uses "dormant" and "inoperative" interchangeably after the 24-month threshold.</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Customer-Initiated Transaction</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 credit or debit transaction originating from the customer's instruction, excluding bank-initiated credits such as interest, or debits such as service charges.</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Unclaimed Deposit</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 deposit in savings, current, recurring, or fixed deposit account that has not been operated for 10 years or more.</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DEA Fund</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Depositor Education and Awareness Fund maintained by RBI under Section 26A of the Banking Regulation Act, 1949.</w:t>
            </w:r>
          </w:p>
        </w:tc>
      </w:tr>
    </w:tbl>
    <w:p>
      <w:r>
        <w:t xml:space="preserve"/>
      </w:r>
    </w:p>
    <w:p>
      <w:pPr>
        <w:pStyle w:val="Heading2"/>
      </w:pPr>
      <w:r>
        <w:rPr>
          <w:b/>
          <w:bCs/>
          <w:sz w:val="24"/>
          <w:szCs w:val="24"/>
        </w:rPr>
        <w:t xml:space="preserve">3. Classification Process</w:t>
      </w:r>
    </w:p>
    <w:p>
      <w:pPr>
        <w:pStyle w:val="ListParagraph"/>
        <w:numPr>
          <w:ilvl w:val="0"/>
          <w:numId w:val="2"/>
        </w:numPr>
      </w:pPr>
      <w:r>
        <w:rPr>
          <w:sz w:val="22"/>
          <w:szCs w:val="22"/>
        </w:rPr>
        <w:t xml:space="preserve">Accounts are identified as inoperative at the end of the 24th month without a customer-initiated transaction.</w:t>
      </w:r>
    </w:p>
    <w:p>
      <w:pPr>
        <w:pStyle w:val="ListParagraph"/>
        <w:numPr>
          <w:ilvl w:val="0"/>
          <w:numId w:val="2"/>
        </w:numPr>
      </w:pPr>
      <w:r>
        <w:rPr>
          <w:sz w:val="22"/>
          <w:szCs w:val="22"/>
        </w:rPr>
        <w:t xml:space="preserve">The system automatically reclassifies the account status in the core banking system.</w:t>
      </w:r>
    </w:p>
    <w:p>
      <w:pPr>
        <w:pStyle w:val="ListParagraph"/>
        <w:numPr>
          <w:ilvl w:val="0"/>
          <w:numId w:val="2"/>
        </w:numPr>
      </w:pPr>
      <w:r>
        <w:rPr>
          <w:sz w:val="22"/>
          <w:szCs w:val="22"/>
        </w:rPr>
        <w:t xml:space="preserve">A notification is sent to the customer via registered mobile number and email (if available) prior to classification.</w:t>
      </w:r>
    </w:p>
    <w:p>
      <w:r>
        <w:t xml:space="preserve"/>
      </w:r>
    </w:p>
    <w:p>
      <w:pPr>
        <w:pStyle w:val="Heading2"/>
      </w:pPr>
      <w:r>
        <w:rPr>
          <w:b/>
          <w:bCs/>
          <w:sz w:val="24"/>
          <w:szCs w:val="24"/>
        </w:rPr>
        <w:t xml:space="preserve">4. Customer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Trigger Point</w:t>
            </w:r>
          </w:p>
        </w:tc>
        <w:tc>
          <w:tcPr>
            <w:tcW w:type="dxa" w:w="58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Notification Action</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12 months without customer transaction</w:t>
            </w:r>
          </w:p>
        </w:tc>
        <w:tc>
          <w:tcPr>
            <w:tcW w:type="dxa" w:w="5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SMS / Email alert: Account approaching inoperative status.</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20 months without customer transaction</w:t>
            </w:r>
          </w:p>
        </w:tc>
        <w:tc>
          <w:tcPr>
            <w:tcW w:type="dxa" w:w="5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Registered letter / email: Final notice before inoperative classification.</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24 months (at classification)</w:t>
            </w:r>
          </w:p>
        </w:tc>
        <w:tc>
          <w:tcPr>
            <w:tcW w:type="dxa" w:w="5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SMS + letter: Account classified as dormant/inoperative.</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9 years without transaction</w:t>
            </w:r>
          </w:p>
        </w:tc>
        <w:tc>
          <w:tcPr>
            <w:tcW w:type="dxa" w:w="5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Registered letter: Account will be transferred to DEA Fund in 1 year.</w:t>
            </w:r>
          </w:p>
        </w:tc>
      </w:tr>
    </w:tbl>
    <w:p>
      <w:r>
        <w:t xml:space="preserve"/>
      </w:r>
    </w:p>
    <w:p>
      <w:pPr>
        <w:pStyle w:val="Heading2"/>
      </w:pPr>
      <w:r>
        <w:rPr>
          <w:b/>
          <w:bCs/>
          <w:sz w:val="24"/>
          <w:szCs w:val="24"/>
        </w:rPr>
        <w:t xml:space="preserve">5. Restrictions on Dormant Accounts</w:t>
      </w:r>
    </w:p>
    <w:p>
      <w:r>
        <w:rPr>
          <w:sz w:val="22"/>
          <w:szCs w:val="22"/>
        </w:rPr>
        <w:t xml:space="preserve">Once an account is classified as inoperative:</w:t>
      </w:r>
    </w:p>
    <w:p>
      <w:pPr>
        <w:pStyle w:val="ListParagraph"/>
        <w:numPr>
          <w:ilvl w:val="0"/>
          <w:numId w:val="3"/>
        </w:numPr>
      </w:pPr>
      <w:r>
        <w:rPr>
          <w:sz w:val="22"/>
          <w:szCs w:val="22"/>
        </w:rPr>
        <w:t xml:space="preserve">Debit transactions are suspended.</w:t>
      </w:r>
    </w:p>
    <w:p>
      <w:pPr>
        <w:pStyle w:val="ListParagraph"/>
        <w:numPr>
          <w:ilvl w:val="0"/>
          <w:numId w:val="3"/>
        </w:numPr>
      </w:pPr>
      <w:r>
        <w:rPr>
          <w:sz w:val="22"/>
          <w:szCs w:val="22"/>
        </w:rPr>
        <w:t xml:space="preserve">Internet banking debit functionality is disabled.</w:t>
      </w:r>
    </w:p>
    <w:p>
      <w:pPr>
        <w:pStyle w:val="ListParagraph"/>
        <w:numPr>
          <w:ilvl w:val="0"/>
          <w:numId w:val="3"/>
        </w:numPr>
      </w:pPr>
      <w:r>
        <w:rPr>
          <w:sz w:val="22"/>
          <w:szCs w:val="22"/>
        </w:rPr>
        <w:t xml:space="preserve">ATM cash withdrawal is blocked.</w:t>
      </w:r>
    </w:p>
    <w:p>
      <w:pPr>
        <w:pStyle w:val="ListParagraph"/>
        <w:numPr>
          <w:ilvl w:val="0"/>
          <w:numId w:val="3"/>
        </w:numPr>
      </w:pPr>
      <w:r>
        <w:rPr>
          <w:sz w:val="22"/>
          <w:szCs w:val="22"/>
        </w:rPr>
        <w:t xml:space="preserve">Credit transactions (e.g., interest, direct benefit transfers) are still permitted.</w:t>
      </w:r>
    </w:p>
    <w:p>
      <w:pPr>
        <w:pStyle w:val="ListParagraph"/>
        <w:numPr>
          <w:ilvl w:val="0"/>
          <w:numId w:val="3"/>
        </w:numPr>
      </w:pPr>
      <w:r>
        <w:rPr>
          <w:sz w:val="22"/>
          <w:szCs w:val="22"/>
        </w:rPr>
        <w:t xml:space="preserve">Account is not subject to closure without the customer's consent, as long as a balance exists.</w:t>
      </w:r>
    </w:p>
    <w:p>
      <w:r>
        <w:t xml:space="preserve"/>
      </w:r>
    </w:p>
    <w:p>
      <w:pPr>
        <w:pStyle w:val="Heading2"/>
      </w:pPr>
      <w:r>
        <w:rPr>
          <w:b/>
          <w:bCs/>
          <w:sz w:val="24"/>
          <w:szCs w:val="24"/>
        </w:rPr>
        <w:t xml:space="preserve">6. Reactivation Procedure</w:t>
      </w:r>
    </w:p>
    <w:p>
      <w:r>
        <w:rPr>
          <w:sz w:val="22"/>
          <w:szCs w:val="22"/>
        </w:rPr>
        <w:t xml:space="preserve">A customer may reactivate a dormant account by:</w:t>
      </w:r>
    </w:p>
    <w:p>
      <w:pPr>
        <w:pStyle w:val="ListParagraph"/>
        <w:numPr>
          <w:ilvl w:val="0"/>
          <w:numId w:val="2"/>
        </w:numPr>
      </w:pPr>
      <w:r>
        <w:rPr>
          <w:sz w:val="22"/>
          <w:szCs w:val="22"/>
        </w:rPr>
        <w:t xml:space="preserve">Visiting the home branch with original identity proof (OVD).</w:t>
      </w:r>
    </w:p>
    <w:p>
      <w:pPr>
        <w:pStyle w:val="ListParagraph"/>
        <w:numPr>
          <w:ilvl w:val="0"/>
          <w:numId w:val="2"/>
        </w:numPr>
      </w:pPr>
      <w:r>
        <w:rPr>
          <w:sz w:val="22"/>
          <w:szCs w:val="22"/>
        </w:rPr>
        <w:t xml:space="preserve">Submitting a written request for reactivation.</w:t>
      </w:r>
    </w:p>
    <w:p>
      <w:pPr>
        <w:pStyle w:val="ListParagraph"/>
        <w:numPr>
          <w:ilvl w:val="0"/>
          <w:numId w:val="2"/>
        </w:numPr>
      </w:pPr>
      <w:r>
        <w:rPr>
          <w:sz w:val="22"/>
          <w:szCs w:val="22"/>
        </w:rPr>
        <w:t xml:space="preserve">Completing a fresh KYC update if existing KYC is beyond its refresh period.</w:t>
      </w:r>
    </w:p>
    <w:p>
      <w:pPr>
        <w:pStyle w:val="ListParagraph"/>
        <w:numPr>
          <w:ilvl w:val="0"/>
          <w:numId w:val="2"/>
        </w:numPr>
      </w:pPr>
      <w:r>
        <w:rPr>
          <w:sz w:val="22"/>
          <w:szCs w:val="22"/>
        </w:rPr>
        <w:t xml:space="preserve">Executing a transaction (deposit or withdrawal) in the presence of branch staff.</w:t>
      </w:r>
    </w:p>
    <w:p>
      <w:r>
        <w:rPr>
          <w:sz w:val="22"/>
          <w:szCs w:val="22"/>
        </w:rPr>
        <w:t xml:space="preserve">Reactivation requests received via digital channels must be supported by mandatory re-authentication and video KYC or branch visit confirmation.</w:t>
      </w:r>
    </w:p>
    <w:p>
      <w:r>
        <w:t xml:space="preserve"/>
      </w:r>
    </w:p>
    <w:p>
      <w:pPr>
        <w:pStyle w:val="Heading2"/>
      </w:pPr>
      <w:r>
        <w:rPr>
          <w:b/>
          <w:bCs/>
          <w:sz w:val="24"/>
          <w:szCs w:val="24"/>
        </w:rPr>
        <w:t xml:space="preserve">7. Charges on Dormant Accounts</w:t>
      </w:r>
    </w:p>
    <w:p>
      <w:r>
        <w:rPr>
          <w:sz w:val="22"/>
          <w:szCs w:val="22"/>
        </w:rPr>
        <w:t xml:space="preserve">The Bank shall not levy charges specifically on account of dormancy that reduce a customer's balance to zero. Service charges otherwise applicable to the account type may continue unless the Bank's Schedule of Charges provides an exemption.</w:t>
      </w:r>
    </w:p>
    <w:p>
      <w:r>
        <w:t xml:space="preserve"/>
      </w:r>
    </w:p>
    <w:p>
      <w:pPr>
        <w:pStyle w:val="Heading2"/>
      </w:pPr>
      <w:r>
        <w:rPr>
          <w:b/>
          <w:bCs/>
          <w:sz w:val="24"/>
          <w:szCs w:val="24"/>
        </w:rPr>
        <w:t xml:space="preserve">8. Transfer to DEA Fund</w:t>
      </w:r>
    </w:p>
    <w:p>
      <w:r>
        <w:rPr>
          <w:sz w:val="22"/>
          <w:szCs w:val="22"/>
        </w:rPr>
        <w:t xml:space="preserve">Deposits in savings, current, recurring deposit, or FD accounts that remain unclaimed for 10 years must be transferred to the DEA Fund maintained by RBI. This includes:</w:t>
      </w:r>
    </w:p>
    <w:p>
      <w:pPr>
        <w:pStyle w:val="ListParagraph"/>
        <w:numPr>
          <w:ilvl w:val="0"/>
          <w:numId w:val="3"/>
        </w:numPr>
      </w:pPr>
      <w:r>
        <w:rPr>
          <w:sz w:val="22"/>
          <w:szCs w:val="22"/>
        </w:rPr>
        <w:t xml:space="preserve">Principal and interest accrued as of the date of transfer.</w:t>
      </w:r>
    </w:p>
    <w:p>
      <w:pPr>
        <w:pStyle w:val="ListParagraph"/>
        <w:numPr>
          <w:ilvl w:val="0"/>
          <w:numId w:val="3"/>
        </w:numPr>
      </w:pPr>
      <w:r>
        <w:rPr>
          <w:sz w:val="22"/>
          <w:szCs w:val="22"/>
        </w:rPr>
        <w:t xml:space="preserve">Proceeds of matured FDs or RDs not claimed after maturity.</w:t>
      </w:r>
    </w:p>
    <w:p>
      <w:r>
        <w:rPr>
          <w:sz w:val="22"/>
          <w:szCs w:val="22"/>
        </w:rPr>
        <w:t xml:space="preserve">The Bank must publish a list of unclaimed accounts on its website as directed by RBI.</w:t>
      </w:r>
    </w:p>
    <w:p>
      <w:r>
        <w:t xml:space="preserve"/>
      </w:r>
    </w:p>
    <w:p>
      <w:pPr>
        <w:pStyle w:val="Heading2"/>
      </w:pPr>
      <w:r>
        <w:rPr>
          <w:b/>
          <w:bCs/>
          <w:sz w:val="24"/>
          <w:szCs w:val="24"/>
        </w:rPr>
        <w:t xml:space="preserve">9. Claims Against DEA Fund</w:t>
      </w:r>
    </w:p>
    <w:p>
      <w:r>
        <w:rPr>
          <w:sz w:val="22"/>
          <w:szCs w:val="22"/>
        </w:rPr>
        <w:t xml:space="preserve">A customer or legal heir may claim the amount transferred to the DEA Fund directly with the Bank. The Bank shall facilitate the claim and reimburse the customer from its own funds, subsequently recovering from the RBI.</w:t>
      </w:r>
    </w:p>
    <w:p>
      <w:r>
        <w:t xml:space="preserve"/>
      </w:r>
    </w:p>
    <w:p>
      <w:pPr>
        <w:pStyle w:val="Heading2"/>
      </w:pPr>
      <w:r>
        <w:rPr>
          <w:b/>
          <w:bCs/>
          <w:sz w:val="24"/>
          <w:szCs w:val="24"/>
        </w:rPr>
        <w:t xml:space="preserve">10. Reporting</w:t>
      </w:r>
    </w:p>
    <w:p>
      <w:r>
        <w:rPr>
          <w:sz w:val="22"/>
          <w:szCs w:val="22"/>
        </w:rPr>
        <w:t xml:space="preserve">The Bank shall submit the following reports to RBI:</w:t>
      </w:r>
    </w:p>
    <w:p>
      <w:pPr>
        <w:pStyle w:val="ListParagraph"/>
        <w:numPr>
          <w:ilvl w:val="0"/>
          <w:numId w:val="3"/>
        </w:numPr>
      </w:pPr>
      <w:r>
        <w:rPr>
          <w:sz w:val="22"/>
          <w:szCs w:val="22"/>
        </w:rPr>
        <w:t xml:space="preserve">Annual return on unclaimed deposits as of 31 December, to be submitted by 30 June of the following year.</w:t>
      </w:r>
    </w:p>
    <w:p>
      <w:pPr>
        <w:pStyle w:val="ListParagraph"/>
        <w:numPr>
          <w:ilvl w:val="0"/>
          <w:numId w:val="3"/>
        </w:numPr>
      </w:pPr>
      <w:r>
        <w:rPr>
          <w:sz w:val="22"/>
          <w:szCs w:val="22"/>
        </w:rPr>
        <w:t xml:space="preserve">List of inoperative accounts to be published on the Bank's website with requisite details.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2026-05-09T07:00:36.283Z</dcterms:created>
  <dcterms:modified xsi:type="dcterms:W3CDTF">2026-05-09T07:00:36.283Z</dcterms:modified>
</cp:coreProperties>
</file>

<file path=docProps/custom.xml><?xml version="1.0" encoding="utf-8"?>
<Properties xmlns="http://schemas.openxmlformats.org/officeDocument/2006/custom-properties" xmlns:vt="http://schemas.openxmlformats.org/officeDocument/2006/docPropsVTypes"/>
</file>