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28"/>
          <w:szCs w:val="28"/>
        </w:rPr>
        <w:t xml:space="preserve">Nominee &amp; Survivorship Policy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Field</w:t>
            </w:r>
          </w:p>
        </w:tc>
        <w:tc>
          <w:tcPr>
            <w:tcW w:type="dxa" w:w="6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Details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Document Title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Nominee &amp; Survivorship Policy</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Number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POL-6694</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Version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1.2</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Effective Date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01 April 2025</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Review Cycle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Annual</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Owner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Head – Retail Banking Operations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Department</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Operations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Approved By</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Board Risk &amp; Compliance Committee</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Classification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Internal – Restricted</w:t>
            </w:r>
          </w:p>
        </w:tc>
      </w:tr>
    </w:tbl>
    <w:p>
      <w:r>
        <w:t xml:space="preserve"/>
      </w:r>
    </w:p>
    <w:p>
      <w:pPr>
        <w:pStyle w:val="Heading2"/>
      </w:pPr>
      <w:r>
        <w:rPr>
          <w:b/>
          <w:bCs/>
          <w:sz w:val="24"/>
          <w:szCs w:val="24"/>
        </w:rPr>
        <w:t xml:space="preserve">1. Purpose</w:t>
      </w:r>
    </w:p>
    <w:p>
      <w:r>
        <w:rPr>
          <w:sz w:val="22"/>
          <w:szCs w:val="22"/>
        </w:rPr>
        <w:t xml:space="preserve">This policy governs the registration of nominees for deposit accounts, the settlement of claims in the event of death of an account holder, and the operation of joint accounts with survivorship rights. It aims to ensure that claims are settled promptly, accurately, and in compliance with applicable law.</w:t>
      </w:r>
    </w:p>
    <w:p>
      <w:r>
        <w:t xml:space="preserve"/>
      </w:r>
    </w:p>
    <w:p>
      <w:pPr>
        <w:pStyle w:val="Heading2"/>
      </w:pPr>
      <w:r>
        <w:rPr>
          <w:b/>
          <w:bCs/>
          <w:sz w:val="24"/>
          <w:szCs w:val="24"/>
        </w:rPr>
        <w:t xml:space="preserve">2. Regulatory Basis</w:t>
      </w:r>
    </w:p>
    <w:p>
      <w:pPr>
        <w:pStyle w:val="ListParagraph"/>
        <w:numPr>
          <w:ilvl w:val="0"/>
          <w:numId w:val="2"/>
        </w:numPr>
      </w:pPr>
      <w:r>
        <w:rPr>
          <w:sz w:val="22"/>
          <w:szCs w:val="22"/>
        </w:rPr>
        <w:t xml:space="preserve">Banking Companies (Nomination) Rules, 1985</w:t>
      </w:r>
    </w:p>
    <w:p>
      <w:pPr>
        <w:pStyle w:val="ListParagraph"/>
        <w:numPr>
          <w:ilvl w:val="0"/>
          <w:numId w:val="2"/>
        </w:numPr>
      </w:pPr>
      <w:r>
        <w:rPr>
          <w:sz w:val="22"/>
          <w:szCs w:val="22"/>
        </w:rPr>
        <w:t xml:space="preserve">Section 45ZA to 45ZF of the Banking Regulation Act, 1949</w:t>
      </w:r>
    </w:p>
    <w:p>
      <w:pPr>
        <w:pStyle w:val="ListParagraph"/>
        <w:numPr>
          <w:ilvl w:val="0"/>
          <w:numId w:val="2"/>
        </w:numPr>
      </w:pPr>
      <w:r>
        <w:rPr>
          <w:sz w:val="22"/>
          <w:szCs w:val="22"/>
        </w:rPr>
        <w:t xml:space="preserve">Indian Succession Act, 1925 (for legal heir settlements)</w:t>
      </w:r>
    </w:p>
    <w:p>
      <w:pPr>
        <w:pStyle w:val="ListParagraph"/>
        <w:numPr>
          <w:ilvl w:val="0"/>
          <w:numId w:val="2"/>
        </w:numPr>
      </w:pPr>
      <w:r>
        <w:rPr>
          <w:sz w:val="22"/>
          <w:szCs w:val="22"/>
        </w:rPr>
        <w:t xml:space="preserve">Hindu Succession Act, 1956 (as applicable)</w:t>
      </w:r>
    </w:p>
    <w:p>
      <w:r>
        <w:t xml:space="preserve"/>
      </w:r>
    </w:p>
    <w:p>
      <w:pPr>
        <w:pStyle w:val="Heading2"/>
      </w:pPr>
      <w:r>
        <w:rPr>
          <w:b/>
          <w:bCs/>
          <w:sz w:val="24"/>
          <w:szCs w:val="24"/>
        </w:rPr>
        <w:t xml:space="preserve">3. Nomination</w:t>
      </w:r>
    </w:p>
    <w:p>
      <w:pPr>
        <w:pStyle w:val="Heading3"/>
      </w:pPr>
      <w:r>
        <w:rPr>
          <w:b/>
          <w:bCs/>
          <w:sz w:val="22"/>
          <w:szCs w:val="22"/>
        </w:rPr>
        <w:t xml:space="preserve">3.1 Eligibility to Nominate</w:t>
      </w:r>
    </w:p>
    <w:p>
      <w:r>
        <w:rPr>
          <w:sz w:val="22"/>
          <w:szCs w:val="22"/>
        </w:rPr>
        <w:t xml:space="preserve">Any individual account holder (including minors through a guardian) may nominate one person for savings accounts, current accounts, fixed deposits, recurring deposits, and safe custody articles. Nomination is not available for joint accounts unless all joint holders agree and co-sign the nomination form.</w:t>
      </w:r>
    </w:p>
    <w:p>
      <w:r>
        <w:t xml:space="preserve"/>
      </w:r>
    </w:p>
    <w:p>
      <w:pPr>
        <w:pStyle w:val="Heading3"/>
      </w:pPr>
      <w:r>
        <w:rPr>
          <w:b/>
          <w:bCs/>
          <w:sz w:val="22"/>
          <w:szCs w:val="22"/>
        </w:rPr>
        <w:t xml:space="preserve">3.2 Registration</w:t>
      </w:r>
    </w:p>
    <w:p>
      <w:r>
        <w:rPr>
          <w:sz w:val="22"/>
          <w:szCs w:val="22"/>
        </w:rPr>
        <w:t xml:space="preserve">Nomination must be registered in the Bank's core banking system at the time of account opening or subsequently through the submission of Form DA1 (nomination), Form DA2 (cancellation), or Form DA3 (change of nomination). A nomination registration acknowledgement must be issued to the customer.</w:t>
      </w:r>
    </w:p>
    <w:p>
      <w:r>
        <w:t xml:space="preserve"/>
      </w:r>
    </w:p>
    <w:p>
      <w:pPr>
        <w:pStyle w:val="Heading3"/>
      </w:pPr>
      <w:r>
        <w:rPr>
          <w:b/>
          <w:bCs/>
          <w:sz w:val="22"/>
          <w:szCs w:val="22"/>
        </w:rPr>
        <w:t xml:space="preserve">3.3 Minor as Nominee</w:t>
      </w:r>
    </w:p>
    <w:p>
      <w:r>
        <w:rPr>
          <w:sz w:val="22"/>
          <w:szCs w:val="22"/>
        </w:rPr>
        <w:t xml:space="preserve">Where the nominee is a minor, the account holder must appoint a guardian to receive the amount in the event of death of the account holder during the minority of the nominee. The guardian's details must be recorded at the time of nomination.</w:t>
      </w:r>
    </w:p>
    <w:p>
      <w:r>
        <w:t xml:space="preserve"/>
      </w:r>
    </w:p>
    <w:p>
      <w:pPr>
        <w:pStyle w:val="Heading2"/>
      </w:pPr>
      <w:r>
        <w:rPr>
          <w:b/>
          <w:bCs/>
          <w:sz w:val="24"/>
          <w:szCs w:val="24"/>
        </w:rPr>
        <w:t xml:space="preserve">4. Settlement of Claims on Death</w:t>
      </w:r>
    </w:p>
    <w:p>
      <w:pPr>
        <w:pStyle w:val="Heading3"/>
      </w:pPr>
      <w:r>
        <w:rPr>
          <w:b/>
          <w:bCs/>
          <w:sz w:val="22"/>
          <w:szCs w:val="22"/>
        </w:rPr>
        <w:t xml:space="preserve">4.1 Where Nomination Exists</w:t>
      </w:r>
    </w:p>
    <w:p>
      <w:r>
        <w:rPr>
          <w:sz w:val="22"/>
          <w:szCs w:val="22"/>
        </w:rPr>
        <w:t xml:space="preserve">Upon receipt of intimation of death of an account holder, and subject to satisfactory proof of death (certified death certificate), the Bank shall settle the account balance in favour of the nominee without requiring a succession certificate, letters of administration, or probate, regardless of the amount. The nominee is required to provide:</w:t>
      </w:r>
    </w:p>
    <w:p>
      <w:pPr>
        <w:pStyle w:val="ListParagraph"/>
        <w:numPr>
          <w:ilvl w:val="0"/>
          <w:numId w:val="2"/>
        </w:numPr>
      </w:pPr>
      <w:r>
        <w:rPr>
          <w:sz w:val="22"/>
          <w:szCs w:val="22"/>
        </w:rPr>
        <w:t xml:space="preserve">Death certificate of account holder.</w:t>
      </w:r>
    </w:p>
    <w:p>
      <w:pPr>
        <w:pStyle w:val="ListParagraph"/>
        <w:numPr>
          <w:ilvl w:val="0"/>
          <w:numId w:val="2"/>
        </w:numPr>
      </w:pPr>
      <w:r>
        <w:rPr>
          <w:sz w:val="22"/>
          <w:szCs w:val="22"/>
        </w:rPr>
        <w:t xml:space="preserve">Identity proof (OVD) of the nominee.</w:t>
      </w:r>
    </w:p>
    <w:p>
      <w:pPr>
        <w:pStyle w:val="ListParagraph"/>
        <w:numPr>
          <w:ilvl w:val="0"/>
          <w:numId w:val="2"/>
        </w:numPr>
      </w:pPr>
      <w:r>
        <w:rPr>
          <w:sz w:val="22"/>
          <w:szCs w:val="22"/>
        </w:rPr>
        <w:t xml:space="preserve">Claim form duly completed.</w:t>
      </w:r>
    </w:p>
    <w:p>
      <w:r>
        <w:t xml:space="preserve"/>
      </w:r>
    </w:p>
    <w:p>
      <w:pPr>
        <w:pStyle w:val="Heading3"/>
      </w:pPr>
      <w:r>
        <w:rPr>
          <w:b/>
          <w:bCs/>
          <w:sz w:val="22"/>
          <w:szCs w:val="22"/>
        </w:rPr>
        <w:t xml:space="preserve">4.2 Where No Nomination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Balance Range</w:t>
            </w:r>
          </w:p>
        </w:tc>
        <w:tc>
          <w:tcPr>
            <w:tcW w:type="dxa" w:w="6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Documents Required</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Up to INR 5 lakh</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Death certificate, identity proof of claimant, affidavit-cum-indemnity bond, letter of disclaimer from other legal heirs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INR 5 lakh to INR 25 lakh</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Above plus legal heir certificate from a competent authority</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Above INR 25 lakh</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Above plus Succession Certificate / Probate / Letters of Administration from a Court of competent jurisdiction</w:t>
            </w:r>
          </w:p>
        </w:tc>
      </w:tr>
    </w:tbl>
    <w:p>
      <w:r>
        <w:t xml:space="preserve"/>
      </w:r>
    </w:p>
    <w:p>
      <w:pPr>
        <w:pStyle w:val="Heading3"/>
      </w:pPr>
      <w:r>
        <w:rPr>
          <w:b/>
          <w:bCs/>
          <w:sz w:val="22"/>
          <w:szCs w:val="22"/>
        </w:rPr>
        <w:t xml:space="preserve">4.3 Processing Timeline</w:t>
      </w:r>
    </w:p>
    <w:p>
      <w:r>
        <w:rPr>
          <w:sz w:val="22"/>
          <w:szCs w:val="22"/>
        </w:rPr>
        <w:t xml:space="preserve">The Bank shall process claim settlements as follows:</w:t>
      </w:r>
    </w:p>
    <w:p>
      <w:pPr>
        <w:pStyle w:val="ListParagraph"/>
        <w:numPr>
          <w:ilvl w:val="0"/>
          <w:numId w:val="2"/>
        </w:numPr>
      </w:pPr>
      <w:r>
        <w:rPr>
          <w:sz w:val="22"/>
          <w:szCs w:val="22"/>
        </w:rPr>
        <w:t xml:space="preserve">Claims with nomination and complete documentation: within 15 working days.</w:t>
      </w:r>
    </w:p>
    <w:p>
      <w:pPr>
        <w:pStyle w:val="ListParagraph"/>
        <w:numPr>
          <w:ilvl w:val="0"/>
          <w:numId w:val="2"/>
        </w:numPr>
      </w:pPr>
      <w:r>
        <w:rPr>
          <w:sz w:val="22"/>
          <w:szCs w:val="22"/>
        </w:rPr>
        <w:t xml:space="preserve">Claims without nomination up to INR 5 lakh with indemnity: within 30 working days.</w:t>
      </w:r>
    </w:p>
    <w:p>
      <w:pPr>
        <w:pStyle w:val="ListParagraph"/>
        <w:numPr>
          <w:ilvl w:val="0"/>
          <w:numId w:val="2"/>
        </w:numPr>
      </w:pPr>
      <w:r>
        <w:rPr>
          <w:sz w:val="22"/>
          <w:szCs w:val="22"/>
        </w:rPr>
        <w:t xml:space="preserve">Claims requiring succession certificate: within 15 working days of receipt of court order.</w:t>
      </w:r>
    </w:p>
    <w:p>
      <w:r>
        <w:t xml:space="preserve"/>
      </w:r>
    </w:p>
    <w:p>
      <w:pPr>
        <w:pStyle w:val="Heading2"/>
      </w:pPr>
      <w:r>
        <w:rPr>
          <w:b/>
          <w:bCs/>
          <w:sz w:val="24"/>
          <w:szCs w:val="24"/>
        </w:rPr>
        <w:t xml:space="preserve">5. Joint Accounts – Survivorship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Account Type</w:t>
            </w:r>
          </w:p>
        </w:tc>
        <w:tc>
          <w:tcPr>
            <w:tcW w:type="dxa" w:w="35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On Death of One Holder</w:t>
            </w:r>
          </w:p>
        </w:tc>
        <w:tc>
          <w:tcPr>
            <w:tcW w:type="dxa" w:w="3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On Death of All Holders</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Joint (Either or Survivor)</w:t>
            </w:r>
          </w:p>
        </w:tc>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Survivor(s) may operate freely</w:t>
            </w:r>
          </w:p>
        </w:tc>
        <w:tc>
          <w:tcPr>
            <w:tcW w:type="dxa" w:w="3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Nominee / legal heir claim process applies</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Joint (Former or Survivor)</w:t>
            </w:r>
          </w:p>
        </w:tc>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Survivor may operate</w:t>
            </w:r>
          </w:p>
        </w:tc>
        <w:tc>
          <w:tcPr>
            <w:tcW w:type="dxa" w:w="3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Nominee / legal heir claim process applies</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Joint (And – both to sign)</w:t>
            </w:r>
          </w:p>
        </w:tc>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Account frozen pending legal process</w:t>
            </w:r>
          </w:p>
        </w:tc>
        <w:tc>
          <w:tcPr>
            <w:tcW w:type="dxa" w:w="3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Nominee / legal heir claim process applies</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Joint (Jointly or Survivor)</w:t>
            </w:r>
          </w:p>
        </w:tc>
        <w:tc>
          <w:tcPr>
            <w:tcW w:type="dxa" w:w="3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All survivors must sign jointly</w:t>
            </w:r>
          </w:p>
        </w:tc>
        <w:tc>
          <w:tcPr>
            <w:tcW w:type="dxa" w:w="3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Nominee / legal heir claim process applies</w:t>
            </w:r>
          </w:p>
        </w:tc>
      </w:tr>
    </w:tbl>
    <w:p>
      <w:r>
        <w:t xml:space="preserve"/>
      </w:r>
    </w:p>
    <w:p>
      <w:pPr>
        <w:pStyle w:val="Heading2"/>
      </w:pPr>
      <w:r>
        <w:rPr>
          <w:b/>
          <w:bCs/>
          <w:sz w:val="24"/>
          <w:szCs w:val="24"/>
        </w:rPr>
        <w:t xml:space="preserve">6. Deceased Account – Interim Freeze</w:t>
      </w:r>
    </w:p>
    <w:p>
      <w:r>
        <w:rPr>
          <w:sz w:val="22"/>
          <w:szCs w:val="22"/>
        </w:rPr>
        <w:t xml:space="preserve">Upon notification of death of an account holder, the Bank shall:</w:t>
      </w:r>
    </w:p>
    <w:p>
      <w:pPr>
        <w:pStyle w:val="ListParagraph"/>
        <w:numPr>
          <w:ilvl w:val="0"/>
          <w:numId w:val="3"/>
        </w:numPr>
      </w:pPr>
      <w:r>
        <w:rPr>
          <w:sz w:val="22"/>
          <w:szCs w:val="22"/>
        </w:rPr>
        <w:t xml:space="preserve">Place an immediate freeze on outward transactions.</w:t>
      </w:r>
    </w:p>
    <w:p>
      <w:pPr>
        <w:pStyle w:val="ListParagraph"/>
        <w:numPr>
          <w:ilvl w:val="0"/>
          <w:numId w:val="3"/>
        </w:numPr>
      </w:pPr>
      <w:r>
        <w:rPr>
          <w:sz w:val="22"/>
          <w:szCs w:val="22"/>
        </w:rPr>
        <w:t xml:space="preserve">Allow inward credits (e.g., pension, interest) to continue pending settlement.</w:t>
      </w:r>
    </w:p>
    <w:p>
      <w:pPr>
        <w:pStyle w:val="ListParagraph"/>
        <w:numPr>
          <w:ilvl w:val="0"/>
          <w:numId w:val="3"/>
        </w:numPr>
      </w:pPr>
      <w:r>
        <w:rPr>
          <w:sz w:val="22"/>
          <w:szCs w:val="22"/>
        </w:rPr>
        <w:t xml:space="preserve">Stop all standing instructions and auto-debits.</w:t>
      </w:r>
    </w:p>
    <w:p>
      <w:pPr>
        <w:pStyle w:val="ListParagraph"/>
        <w:numPr>
          <w:ilvl w:val="0"/>
          <w:numId w:val="3"/>
        </w:numPr>
      </w:pPr>
      <w:r>
        <w:rPr>
          <w:sz w:val="22"/>
          <w:szCs w:val="22"/>
        </w:rPr>
        <w:t xml:space="preserve">Inform the claim applicant of the documents required and timeline for settlement.</w:t>
      </w:r>
    </w:p>
    <w:p>
      <w:r>
        <w:t xml:space="preserve"/>
      </w:r>
    </w:p>
    <w:p>
      <w:pPr>
        <w:pStyle w:val="Heading2"/>
      </w:pPr>
      <w:r>
        <w:rPr>
          <w:b/>
          <w:bCs/>
          <w:sz w:val="24"/>
          <w:szCs w:val="24"/>
        </w:rPr>
        <w:t xml:space="preserve">7. Unclaimed Balances</w:t>
      </w:r>
    </w:p>
    <w:p>
      <w:r>
        <w:rPr>
          <w:sz w:val="22"/>
          <w:szCs w:val="22"/>
        </w:rPr>
        <w:t xml:space="preserve">Balances remaining unclaimed after the death of an account holder that cannot be settled due to absence of claimants shall be treated as unclaimed deposits and handled in accordance with the Dormant / Inoperative Account Policy.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2026-05-09T07:00:36.344Z</dcterms:created>
  <dcterms:modified xsi:type="dcterms:W3CDTF">2026-05-09T07:00:36.344Z</dcterms:modified>
</cp:coreProperties>
</file>

<file path=docProps/custom.xml><?xml version="1.0" encoding="utf-8"?>
<Properties xmlns="http://schemas.openxmlformats.org/officeDocument/2006/custom-properties" xmlns:vt="http://schemas.openxmlformats.org/officeDocument/2006/docPropsVTypes"/>
</file>