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Corporate Lending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Corporate Lending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POL-2805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Credit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Corporate &amp; Institutional Banking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principles, standards, and procedures governing the extension of credit facilities to corporate borrowers including large corporates, mid-corporates, public sector undertakings (PSUs), and financial institutions. It ensures that credit is deployed prudently and in alignment with the Bank's risk appetite and regulatory obligations.</w:t>
      </w:r>
    </w:p>
    <w:p>
      <w:r>
        <w:t xml:space="preserve"/>
      </w:r>
    </w:p>
    <w:p>
      <w:pPr>
        <w:pStyle w:val="Heading2"/>
      </w:pPr>
      <w:r>
        <w:rPr>
          <w:b/>
          <w:bCs/>
          <w:sz w:val="24"/>
          <w:szCs w:val="24"/>
        </w:rPr>
        <w:t xml:space="preserve">2. Scope</w:t>
      </w:r>
    </w:p>
    <w:p>
      <w:r>
        <w:rPr>
          <w:sz w:val="22"/>
          <w:szCs w:val="22"/>
        </w:rPr>
        <w:t xml:space="preserve">This policy applies to all fund-based and non-fund-based credit facilities extended to corporate entities including: term loans, working capital facilities (CC/OD/WCDL), letters of credit, bank guarantees, structured finance, and syndicated loans.</w:t>
      </w:r>
    </w:p>
    <w:p>
      <w:r>
        <w:t xml:space="preserve"/>
      </w:r>
    </w:p>
    <w:p>
      <w:pPr>
        <w:pStyle w:val="Heading2"/>
      </w:pPr>
      <w:r>
        <w:rPr>
          <w:b/>
          <w:bCs/>
          <w:sz w:val="24"/>
          <w:szCs w:val="24"/>
        </w:rPr>
        <w:t xml:space="preserve">3. Credit Risk Appetite</w:t>
      </w:r>
    </w:p>
    <w:p>
      <w:r>
        <w:rPr>
          <w:sz w:val="22"/>
          <w:szCs w:val="22"/>
        </w:rPr>
        <w:t xml:space="preserve">The Bank's corporate credit risk appetite is defined by the following guardrails:</w:t>
      </w:r>
    </w:p>
    <w:p>
      <w:pPr>
        <w:pStyle w:val="ListParagraph"/>
        <w:numPr>
          <w:ilvl w:val="0"/>
          <w:numId w:val="2"/>
        </w:numPr>
      </w:pPr>
      <w:r>
        <w:rPr>
          <w:sz w:val="22"/>
          <w:szCs w:val="22"/>
        </w:rPr>
        <w:t xml:space="preserve">Single borrower exposure: maximum 20% of capital funds (as per RBI Large Exposure Framework).</w:t>
      </w:r>
    </w:p>
    <w:p>
      <w:pPr>
        <w:pStyle w:val="ListParagraph"/>
        <w:numPr>
          <w:ilvl w:val="0"/>
          <w:numId w:val="2"/>
        </w:numPr>
      </w:pPr>
      <w:r>
        <w:rPr>
          <w:sz w:val="22"/>
          <w:szCs w:val="22"/>
        </w:rPr>
        <w:t xml:space="preserve">Group exposure: maximum 25% of capital funds.</w:t>
      </w:r>
    </w:p>
    <w:p>
      <w:pPr>
        <w:pStyle w:val="ListParagraph"/>
        <w:numPr>
          <w:ilvl w:val="0"/>
          <w:numId w:val="2"/>
        </w:numPr>
      </w:pPr>
      <w:r>
        <w:rPr>
          <w:sz w:val="22"/>
          <w:szCs w:val="22"/>
        </w:rPr>
        <w:t xml:space="preserve">Sector concentration: No single sector shall exceed 20% of the corporate loan book.</w:t>
      </w:r>
    </w:p>
    <w:p>
      <w:pPr>
        <w:pStyle w:val="ListParagraph"/>
        <w:numPr>
          <w:ilvl w:val="0"/>
          <w:numId w:val="2"/>
        </w:numPr>
      </w:pPr>
      <w:r>
        <w:rPr>
          <w:sz w:val="22"/>
          <w:szCs w:val="22"/>
        </w:rPr>
        <w:t xml:space="preserve">Minimum internal credit rating at sanction: BB or equivalent.</w:t>
      </w:r>
    </w:p>
    <w:p>
      <w:pPr>
        <w:pStyle w:val="ListParagraph"/>
        <w:numPr>
          <w:ilvl w:val="0"/>
          <w:numId w:val="2"/>
        </w:numPr>
      </w:pPr>
      <w:r>
        <w:rPr>
          <w:sz w:val="22"/>
          <w:szCs w:val="22"/>
        </w:rPr>
        <w:t xml:space="preserve">No credit to entities rated below B+ except in approved restructuring scenarios.</w:t>
      </w:r>
    </w:p>
    <w:p>
      <w:r>
        <w:t xml:space="preserve"/>
      </w:r>
    </w:p>
    <w:p>
      <w:pPr>
        <w:pStyle w:val="Heading2"/>
      </w:pPr>
      <w:r>
        <w:rPr>
          <w:b/>
          <w:bCs/>
          <w:sz w:val="24"/>
          <w:szCs w:val="24"/>
        </w:rPr>
        <w:t xml:space="preserve">4.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Parameter</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Requirement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Entity Type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Private/Public Limited, LLP, PSU, Financial Institution (FI), NBFC</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Vintage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 years of operating history with audited financials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Financial Health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Positive net worth; DSCR &gt; 1.2x for term loans; current ratio &gt; 1.0x for WC</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Credit Rating</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BB (Bank's internal rating scale)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Bureau / Market Checks</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NPA, suit-filed, or wilful defaulter tag in any institution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Promoter Track Record</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fraud, criminal conviction, or regulatory ban on promoters</w:t>
            </w:r>
          </w:p>
        </w:tc>
      </w:tr>
    </w:tbl>
    <w:p>
      <w:r>
        <w:t xml:space="preserve"/>
      </w:r>
    </w:p>
    <w:p>
      <w:pPr>
        <w:pStyle w:val="Heading2"/>
      </w:pPr>
      <w:r>
        <w:rPr>
          <w:b/>
          <w:bCs/>
          <w:sz w:val="24"/>
          <w:szCs w:val="24"/>
        </w:rPr>
        <w:t xml:space="preserve">5. Credit Appraisal Framework</w:t>
      </w:r>
    </w:p>
    <w:p>
      <w:pPr>
        <w:pStyle w:val="Heading3"/>
      </w:pPr>
      <w:r>
        <w:rPr>
          <w:b/>
          <w:bCs/>
          <w:sz w:val="22"/>
          <w:szCs w:val="22"/>
        </w:rPr>
        <w:t xml:space="preserve">5.1 Financial Analysis</w:t>
      </w:r>
    </w:p>
    <w:p>
      <w:pPr>
        <w:pStyle w:val="ListParagraph"/>
        <w:numPr>
          <w:ilvl w:val="0"/>
          <w:numId w:val="2"/>
        </w:numPr>
      </w:pPr>
      <w:r>
        <w:rPr>
          <w:sz w:val="22"/>
          <w:szCs w:val="22"/>
        </w:rPr>
        <w:t xml:space="preserve">3-year audited financials and latest provisional financials.</w:t>
      </w:r>
    </w:p>
    <w:p>
      <w:pPr>
        <w:pStyle w:val="ListParagraph"/>
        <w:numPr>
          <w:ilvl w:val="0"/>
          <w:numId w:val="2"/>
        </w:numPr>
      </w:pPr>
      <w:r>
        <w:rPr>
          <w:sz w:val="22"/>
          <w:szCs w:val="22"/>
        </w:rPr>
        <w:t xml:space="preserve">Assessment of revenue trends, EBITDA margins, debt levels, and coverage ratios.</w:t>
      </w:r>
    </w:p>
    <w:p>
      <w:pPr>
        <w:pStyle w:val="ListParagraph"/>
        <w:numPr>
          <w:ilvl w:val="0"/>
          <w:numId w:val="2"/>
        </w:numPr>
      </w:pPr>
      <w:r>
        <w:rPr>
          <w:sz w:val="22"/>
          <w:szCs w:val="22"/>
        </w:rPr>
        <w:t xml:space="preserve">Sensitivity analysis on revenue, margin, and interest rate assumptions.</w:t>
      </w:r>
    </w:p>
    <w:p>
      <w:pPr>
        <w:pStyle w:val="ListParagraph"/>
        <w:numPr>
          <w:ilvl w:val="0"/>
          <w:numId w:val="2"/>
        </w:numPr>
      </w:pPr>
      <w:r>
        <w:rPr>
          <w:sz w:val="22"/>
          <w:szCs w:val="22"/>
        </w:rPr>
        <w:t xml:space="preserve">Working capital cycle assessment.</w:t>
      </w:r>
    </w:p>
    <w:p>
      <w:r>
        <w:t xml:space="preserve"/>
      </w:r>
    </w:p>
    <w:p>
      <w:pPr>
        <w:pStyle w:val="Heading3"/>
      </w:pPr>
      <w:r>
        <w:rPr>
          <w:b/>
          <w:bCs/>
          <w:sz w:val="22"/>
          <w:szCs w:val="22"/>
        </w:rPr>
        <w:t xml:space="preserve">5.2 Business and Management Assessment</w:t>
      </w:r>
    </w:p>
    <w:p>
      <w:pPr>
        <w:pStyle w:val="ListParagraph"/>
        <w:numPr>
          <w:ilvl w:val="0"/>
          <w:numId w:val="2"/>
        </w:numPr>
      </w:pPr>
      <w:r>
        <w:rPr>
          <w:sz w:val="22"/>
          <w:szCs w:val="22"/>
        </w:rPr>
        <w:t xml:space="preserve">Industry analysis – market size, growth outlook, competitive dynamics.</w:t>
      </w:r>
    </w:p>
    <w:p>
      <w:pPr>
        <w:pStyle w:val="ListParagraph"/>
        <w:numPr>
          <w:ilvl w:val="0"/>
          <w:numId w:val="2"/>
        </w:numPr>
      </w:pPr>
      <w:r>
        <w:rPr>
          <w:sz w:val="22"/>
          <w:szCs w:val="22"/>
        </w:rPr>
        <w:t xml:space="preserve">Competitive positioning and market share of the borrower.</w:t>
      </w:r>
    </w:p>
    <w:p>
      <w:pPr>
        <w:pStyle w:val="ListParagraph"/>
        <w:numPr>
          <w:ilvl w:val="0"/>
          <w:numId w:val="2"/>
        </w:numPr>
      </w:pPr>
      <w:r>
        <w:rPr>
          <w:sz w:val="22"/>
          <w:szCs w:val="22"/>
        </w:rPr>
        <w:t xml:space="preserve">Management quality, track record, and succession planning.</w:t>
      </w:r>
    </w:p>
    <w:p>
      <w:pPr>
        <w:pStyle w:val="ListParagraph"/>
        <w:numPr>
          <w:ilvl w:val="0"/>
          <w:numId w:val="2"/>
        </w:numPr>
      </w:pPr>
      <w:r>
        <w:rPr>
          <w:sz w:val="22"/>
          <w:szCs w:val="22"/>
        </w:rPr>
        <w:t xml:space="preserve">Corporate governance assessment including related party transactions.</w:t>
      </w:r>
    </w:p>
    <w:p>
      <w:r>
        <w:t xml:space="preserve"/>
      </w:r>
    </w:p>
    <w:p>
      <w:pPr>
        <w:pStyle w:val="Heading3"/>
      </w:pPr>
      <w:r>
        <w:rPr>
          <w:b/>
          <w:bCs/>
          <w:sz w:val="22"/>
          <w:szCs w:val="22"/>
        </w:rPr>
        <w:t xml:space="preserve">5.3 Key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Ratio</w:t>
            </w:r>
          </w:p>
        </w:tc>
        <w:tc>
          <w:tcPr>
            <w:tcW w:type="dxa" w:w="2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Benchmark (Indicative)</w:t>
            </w:r>
          </w:p>
        </w:tc>
        <w:tc>
          <w:tcPr>
            <w:tcW w:type="dxa" w:w="30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Purpose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Debt Service Coverage Ratio (DSCR)</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&gt; 1.2x (term loans); &gt; 1.5x preferred</w:t>
            </w:r>
          </w:p>
        </w:tc>
        <w:tc>
          <w:tcPr>
            <w:tcW w:type="dxa" w:w="3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Repayment capacity</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Total Outside Liabilities / TNW</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&lt; 3.0x for manufacturing; &lt; 5.0x for trading</w:t>
            </w:r>
          </w:p>
        </w:tc>
        <w:tc>
          <w:tcPr>
            <w:tcW w:type="dxa" w:w="3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Leverage comfort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Current Ratio</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&gt; 1.0x</w:t>
            </w:r>
          </w:p>
        </w:tc>
        <w:tc>
          <w:tcPr>
            <w:tcW w:type="dxa" w:w="3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Liquidity adequacy</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Interest Coverage Ratio</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&gt; 2.5x</w:t>
            </w:r>
          </w:p>
        </w:tc>
        <w:tc>
          <w:tcPr>
            <w:tcW w:type="dxa" w:w="3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Earnings buffer over interest cost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Net NPA / Net Worth</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&lt; 5%</w:t>
            </w:r>
          </w:p>
        </w:tc>
        <w:tc>
          <w:tcPr>
            <w:tcW w:type="dxa" w:w="30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Asset quality of NBFC borrowers</w:t>
            </w:r>
          </w:p>
        </w:tc>
      </w:tr>
    </w:tbl>
    <w:p>
      <w:r>
        <w:t xml:space="preserve"/>
      </w:r>
    </w:p>
    <w:p>
      <w:pPr>
        <w:pStyle w:val="Heading2"/>
      </w:pPr>
      <w:r>
        <w:rPr>
          <w:b/>
          <w:bCs/>
          <w:sz w:val="24"/>
          <w:szCs w:val="24"/>
        </w:rPr>
        <w:t xml:space="preserve">6. Security and Collateral</w:t>
      </w:r>
    </w:p>
    <w:p>
      <w:r>
        <w:rPr>
          <w:sz w:val="22"/>
          <w:szCs w:val="22"/>
        </w:rPr>
        <w:t xml:space="preserve">Security structures for corporate credit:</w:t>
      </w:r>
    </w:p>
    <w:p>
      <w:pPr>
        <w:pStyle w:val="ListParagraph"/>
        <w:numPr>
          <w:ilvl w:val="0"/>
          <w:numId w:val="2"/>
        </w:numPr>
      </w:pPr>
      <w:r>
        <w:rPr>
          <w:sz w:val="22"/>
          <w:szCs w:val="22"/>
        </w:rPr>
        <w:t xml:space="preserve">Working Capital: Hypothecation of current assets (stocks and debtors) and first charge on fixed assets.</w:t>
      </w:r>
    </w:p>
    <w:p>
      <w:pPr>
        <w:pStyle w:val="ListParagraph"/>
        <w:numPr>
          <w:ilvl w:val="0"/>
          <w:numId w:val="2"/>
        </w:numPr>
      </w:pPr>
      <w:r>
        <w:rPr>
          <w:sz w:val="22"/>
          <w:szCs w:val="22"/>
        </w:rPr>
        <w:t xml:space="preserve">Term Loans: First and exclusive charge on financed assets; equitable mortgage on immovable property where applicable.</w:t>
      </w:r>
    </w:p>
    <w:p>
      <w:pPr>
        <w:pStyle w:val="ListParagraph"/>
        <w:numPr>
          <w:ilvl w:val="0"/>
          <w:numId w:val="2"/>
        </w:numPr>
      </w:pPr>
      <w:r>
        <w:rPr>
          <w:sz w:val="22"/>
          <w:szCs w:val="22"/>
        </w:rPr>
        <w:t xml:space="preserve">Guarantees: Personal guarantees of promoters holding &gt;51% stake are mandatory unless Board-approved exception.</w:t>
      </w:r>
    </w:p>
    <w:p>
      <w:pPr>
        <w:pStyle w:val="ListParagraph"/>
        <w:numPr>
          <w:ilvl w:val="0"/>
          <w:numId w:val="2"/>
        </w:numPr>
      </w:pPr>
      <w:r>
        <w:rPr>
          <w:sz w:val="22"/>
          <w:szCs w:val="22"/>
        </w:rPr>
        <w:t xml:space="preserve">Additional collateral may be required based on rating, borrower category, and project risk.</w:t>
      </w:r>
    </w:p>
    <w:p>
      <w:r>
        <w:t xml:space="preserve"/>
      </w:r>
    </w:p>
    <w:p>
      <w:pPr>
        <w:pStyle w:val="Heading2"/>
      </w:pPr>
      <w:r>
        <w:rPr>
          <w:b/>
          <w:bCs/>
          <w:sz w:val="24"/>
          <w:szCs w:val="24"/>
        </w:rPr>
        <w:t xml:space="preserve">7. Credit Approval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Exposure Size</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Approval Authority</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INR 25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Committee – Level 1</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25 crore to INR 100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Committee – Level 2</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100 crore to INR 500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Committee – Level 3 (includes CEO)</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Above INR 500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Credit Committee</w:t>
            </w:r>
          </w:p>
        </w:tc>
      </w:tr>
    </w:tbl>
    <w:p>
      <w:r>
        <w:t xml:space="preserve"/>
      </w:r>
    </w:p>
    <w:p>
      <w:pPr>
        <w:pStyle w:val="Heading2"/>
      </w:pPr>
      <w:r>
        <w:rPr>
          <w:b/>
          <w:bCs/>
          <w:sz w:val="24"/>
          <w:szCs w:val="24"/>
        </w:rPr>
        <w:t xml:space="preserve">8. Loan Covenants</w:t>
      </w:r>
    </w:p>
    <w:p>
      <w:r>
        <w:rPr>
          <w:sz w:val="22"/>
          <w:szCs w:val="22"/>
        </w:rPr>
        <w:t xml:space="preserve">Sanction letters for corporate credit must include financial covenants (e.g., DSCR, leverage ratio), reporting covenants (quarterly financials, annual audited accounts), and event of default triggers. Covenant breaches must be reported to the Credit Committee within 5 working days of identification.</w:t>
      </w:r>
    </w:p>
    <w:p>
      <w:r>
        <w:t xml:space="preserve"/>
      </w:r>
    </w:p>
    <w:p>
      <w:pPr>
        <w:pStyle w:val="Heading2"/>
      </w:pPr>
      <w:r>
        <w:rPr>
          <w:b/>
          <w:bCs/>
          <w:sz w:val="24"/>
          <w:szCs w:val="24"/>
        </w:rPr>
        <w:t xml:space="preserve">9. Annual Review</w:t>
      </w:r>
    </w:p>
    <w:p>
      <w:r>
        <w:rPr>
          <w:sz w:val="22"/>
          <w:szCs w:val="22"/>
        </w:rPr>
        <w:t xml:space="preserve">All corporate credit facilities must be reviewed annually. The credit review must include fresh financial analysis, rating reaffirmation, covenant compliance check, and account conduct review. Facilities not reviewed within 12 months of previous review are frozen from further drawdowns.</w:t>
      </w:r>
    </w:p>
    <w:p>
      <w:r>
        <w:t xml:space="preserve"/>
      </w:r>
    </w:p>
    <w:p>
      <w:pPr>
        <w:pStyle w:val="Heading2"/>
      </w:pPr>
      <w:r>
        <w:rPr>
          <w:b/>
          <w:bCs/>
          <w:sz w:val="24"/>
          <w:szCs w:val="24"/>
        </w:rPr>
        <w:t xml:space="preserve">10. Large Exposure Framework</w:t>
      </w:r>
    </w:p>
    <w:p>
      <w:r>
        <w:rPr>
          <w:sz w:val="22"/>
          <w:szCs w:val="22"/>
        </w:rPr>
        <w:t xml:space="preserve">The Bank shall comply with RBI's Large Exposure (LE) Framework at all times. Any single borrower or connected group of borrowers approaching 15% of Tier 1 capital must be flagged to the Risk Management Committee (RMC) for monitoring.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2026-05-09T07:00:36.428Z</dcterms:created>
  <dcterms:modified xsi:type="dcterms:W3CDTF">2026-05-09T07:00:36.428Z</dcterms:modified>
</cp:coreProperties>
</file>

<file path=docProps/custom.xml><?xml version="1.0" encoding="utf-8"?>
<Properties xmlns="http://schemas.openxmlformats.org/officeDocument/2006/custom-properties" xmlns:vt="http://schemas.openxmlformats.org/officeDocument/2006/docPropsVTypes"/>
</file>