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Home Loan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 Loan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POL-7217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 – Home Loans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Retail Credit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establishes the underwriting standards, eligibility criteria, product parameters, and servicing requirements for home loan facilities extended by the Bank to individual borrowers.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Product Types Covered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Purchase Loan (Resale / New)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Construction Loan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Improvement / Renovation Loan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Extension Loan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Plot Loan (residential use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Balance Transfer (BT) and Top-Up Loan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Pradhan Mantri Awas Yojana (PMAY) – Credit Linked Subsidy Scheme (CLSS)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Salaried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Self-Employed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Age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years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years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Age at Loan Maturity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 years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 years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Income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25,000 NMI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3 lakh net annual profit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CIBIL Score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Work Experience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years total; 1 year with current employer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years in same business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Co-applicant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Permitted; mandatory for property joint ownership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Permitted; mandatory for property joint ownership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Loan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Loan Amount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5 lakh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Loan Amount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10 crore (cases above INR 5 crore require Credit Committee approval)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Tenure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Tenure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years (subject to eligibility)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 to Repo Rate (RLLR); floating or fixed options as per product grid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Processing Fee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per Schedule of Charges (typically 0.25%–0.5% of loan amount)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Prepayment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prepayment charges on floating rate loans for individual borrowers (RBI directive)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LTV Ratios (Per RBI Guidelines)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Loan Amount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LTV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to INR 30 lakh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90% of property value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30 lakh to INR 75 lakh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80% of property value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Above INR 75 lakh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75% of property value</w:t>
            </w:r>
          </w:p>
        </w:tc>
      </w:tr>
    </w:tbl>
    <w:p>
      <w:r>
        <w:rPr>
          <w:sz w:val="22"/>
          <w:szCs w:val="22"/>
        </w:rPr>
        <w:t xml:space="preserve">LTV is calculated on the lower of agreement value and Bank's valuation.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Property and Legal Assessment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6.1 Valuation</w:t>
      </w:r>
    </w:p>
    <w:p>
      <w:r>
        <w:rPr>
          <w:sz w:val="22"/>
          <w:szCs w:val="22"/>
        </w:rPr>
        <w:t xml:space="preserve">All properties must be valued by a Bank-empanelled valuer. A second independent valuation is mandatory for properties valued above INR 1 crore. The Bank adopts the lower of the two valuations for LTV computation.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6.2 Legal Title Search</w:t>
      </w:r>
    </w:p>
    <w:p>
      <w:r>
        <w:rPr>
          <w:sz w:val="22"/>
          <w:szCs w:val="22"/>
        </w:rPr>
        <w:t xml:space="preserve">A 30-year title search must be conducted by a Bank-empanelled advocate. The search must confirm clear and marketable title, absence of encumbrances, and that the property is not subject to litigation, acquisition, or government reservation.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6.3 Technical Assessment</w:t>
      </w:r>
    </w:p>
    <w:p>
      <w:r>
        <w:rPr>
          <w:sz w:val="22"/>
          <w:szCs w:val="22"/>
        </w:rPr>
        <w:t xml:space="preserve">For under-construction properties and construction loans, a technical assessment by an empanelled engineer is mandatory. Stage-wise disbursements are linked to construction milestones certified by the technical assessor.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PMAY-CLSS Integration</w:t>
      </w:r>
    </w:p>
    <w:p>
      <w:r>
        <w:rPr>
          <w:sz w:val="22"/>
          <w:szCs w:val="22"/>
        </w:rPr>
        <w:t xml:space="preserve">For eligible borrowers under EWS/LIG/MIG-I/MIG-II categories, the Bank shall process subsidy claims through the National Housing Bank (NHB) or HUDCO as applicable. The subsidy amount is credited to the loan account upfront, reducing the principal outstanding.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Disbursement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ready properties: disbursement is made directly to the seller / developer.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under-construction properties: stage-wise disbursement against progress certificates.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Loan proceeds must not be disbursed to the borrower's own account.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Insurance</w:t>
      </w:r>
    </w:p>
    <w:p>
      <w:r>
        <w:rPr>
          <w:sz w:val="22"/>
          <w:szCs w:val="22"/>
        </w:rPr>
        <w:t xml:space="preserve">The Bank recommends (but does not mandate as a condition for sanction) that borrowers take: property insurance against fire, flood, and allied perils; and life insurance / term plan to cover the outstanding loan amount. The Bank is not permitted to make third-party insurance purchase a condition of loan sanction.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10. Repayment</w:t>
      </w:r>
    </w:p>
    <w:p>
      <w:r>
        <w:rPr>
          <w:sz w:val="22"/>
          <w:szCs w:val="22"/>
        </w:rPr>
        <w:t xml:space="preserve">Repayment is through NACH / ECS auto-debit on a fixed EMI basis. Pre-EMI interest is collected monthly for under-construction properties until the first EMI commences. The borrower may make partial or full prepayment without penalty (floating rate).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2026-05-09T07:00:36.581Z</dcterms:created>
  <dcterms:modified xsi:type="dcterms:W3CDTF">2026-05-09T07:00:36.581Z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