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Personal Loan Policy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Field</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Details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Document Title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Personal Loan Policy</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Number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POL-6639</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Version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2.1</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Effective Date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01 April 2025</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Review Cycle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Annual</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Policy Owner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Head – Retail Unsecured Lending</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Department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Retail Credit</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Approved By</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Board Risk &amp; Compliance Committee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Classification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Internal – Restricted</w:t>
            </w:r>
          </w:p>
        </w:tc>
      </w:tr>
    </w:tbl>
    <w:p>
      <w:r>
        <w:t xml:space="preserve"/>
      </w:r>
    </w:p>
    <w:p>
      <w:pPr>
        <w:pStyle w:val="Heading2"/>
      </w:pPr>
      <w:r>
        <w:rPr>
          <w:b/>
          <w:bCs/>
          <w:sz w:val="24"/>
          <w:szCs w:val="24"/>
        </w:rPr>
        <w:t xml:space="preserve">1. Purpose</w:t>
      </w:r>
    </w:p>
    <w:p>
      <w:r>
        <w:rPr>
          <w:sz w:val="22"/>
          <w:szCs w:val="22"/>
        </w:rPr>
        <w:t xml:space="preserve">This policy governs the underwriting, approval, disbursement, and collection of personal loans extended to individual retail customers. Personal loans are unsecured consumer credit products and carry higher credit risk, necessitating rigorous income verification and bureau-based underwriting.</w:t>
      </w:r>
    </w:p>
    <w:p>
      <w:r>
        <w:t xml:space="preserve"/>
      </w:r>
    </w:p>
    <w:p>
      <w:pPr>
        <w:pStyle w:val="Heading2"/>
      </w:pPr>
      <w:r>
        <w:rPr>
          <w:b/>
          <w:bCs/>
          <w:sz w:val="24"/>
          <w:szCs w:val="24"/>
        </w:rPr>
        <w:t xml:space="preserve">2. Product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Parameter</w:t>
            </w:r>
          </w:p>
        </w:tc>
        <w:tc>
          <w:tcPr>
            <w:tcW w:type="dxa" w:w="63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Details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Loan Type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Unsecured; no collateral or security required</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Eligible Borrowers</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Salaried employees (confirmed); self-employed professionals with stable income</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Minimum Loan Amount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50,000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Maximum Loan Amount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40 lakh (subject to income eligibility)</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Tenure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12 to 60 months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Interest Rate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Fixed rate; linked to Bank's cost of funds and credit risk pricing model</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Processing Fee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As per Schedule of Charges (typically 1%–2% + GST)</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Prepayment</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 of outstanding principal if prepaid before 12 months; Nil thereafter</w:t>
            </w:r>
          </w:p>
        </w:tc>
      </w:tr>
    </w:tbl>
    <w:p>
      <w:r>
        <w:t xml:space="preserve"/>
      </w:r>
    </w:p>
    <w:p>
      <w:pPr>
        <w:pStyle w:val="Heading2"/>
      </w:pPr>
      <w:r>
        <w:rPr>
          <w:b/>
          <w:bCs/>
          <w:sz w:val="24"/>
          <w:szCs w:val="24"/>
        </w:rPr>
        <w:t xml:space="preserve">3. Eligibility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Criterion</w:t>
            </w:r>
          </w:p>
        </w:tc>
        <w:tc>
          <w:tcPr>
            <w:tcW w:type="dxa" w:w="2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Salaried</w:t>
            </w:r>
          </w:p>
        </w:tc>
        <w:tc>
          <w:tcPr>
            <w:tcW w:type="dxa" w:w="38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Self-Employed Professional</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Age</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21 to 60 years</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25 to 65 years</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Minimum Net Monthly Income</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20,000</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INR 30,000 net monthly income equivalent</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Employment / Business Vintage</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 years total; 6 months with current employer</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2 years in current profession with filing history</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Minimum CIBIL Score</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720</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720</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FOIR Limit</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Maximum 50% including proposed EMI</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Maximum 50% including proposed EMI</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Negative Profile Check</w:t>
            </w:r>
          </w:p>
        </w:tc>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 DPD &gt; 30 in last 12 months; no NPA or write-off</w:t>
            </w:r>
          </w:p>
        </w:tc>
        <w:tc>
          <w:tcPr>
            <w:tcW w:type="dxa" w:w="3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 DPD &gt; 30 in last 12 months; no NPA or write-off</w:t>
            </w:r>
          </w:p>
        </w:tc>
      </w:tr>
    </w:tbl>
    <w:p>
      <w:r>
        <w:t xml:space="preserve"/>
      </w:r>
    </w:p>
    <w:p>
      <w:pPr>
        <w:pStyle w:val="Heading2"/>
      </w:pPr>
      <w:r>
        <w:rPr>
          <w:b/>
          <w:bCs/>
          <w:sz w:val="24"/>
          <w:szCs w:val="24"/>
        </w:rPr>
        <w:t xml:space="preserve">4. Credit Assessment</w:t>
      </w:r>
    </w:p>
    <w:p>
      <w:pPr>
        <w:pStyle w:val="Heading3"/>
      </w:pPr>
      <w:r>
        <w:rPr>
          <w:b/>
          <w:bCs/>
          <w:sz w:val="22"/>
          <w:szCs w:val="22"/>
        </w:rPr>
        <w:t xml:space="preserve">4.1 Bureau Check</w:t>
      </w:r>
    </w:p>
    <w:p>
      <w:r>
        <w:rPr>
          <w:sz w:val="22"/>
          <w:szCs w:val="22"/>
        </w:rPr>
        <w:t xml:space="preserve">Mandatory credit bureau check from minimum one RBI-authorised CIC. Accounts with score below 720 are declined. Scores between 720 and 749 are subject to enhanced income verification. No personal loan shall be sanctioned to an applicant with any active NPA, write-off, or suit-filed status.</w:t>
      </w:r>
    </w:p>
    <w:p>
      <w:r>
        <w:t xml:space="preserve"/>
      </w:r>
    </w:p>
    <w:p>
      <w:pPr>
        <w:pStyle w:val="Heading3"/>
      </w:pPr>
      <w:r>
        <w:rPr>
          <w:b/>
          <w:bCs/>
          <w:sz w:val="22"/>
          <w:szCs w:val="22"/>
        </w:rPr>
        <w:t xml:space="preserve">4.2 Income Verification</w:t>
      </w:r>
    </w:p>
    <w:p>
      <w:r>
        <w:rPr>
          <w:sz w:val="22"/>
          <w:szCs w:val="22"/>
        </w:rPr>
        <w:t xml:space="preserve">Income is verified from:</w:t>
      </w:r>
    </w:p>
    <w:p>
      <w:pPr>
        <w:pStyle w:val="ListParagraph"/>
        <w:numPr>
          <w:ilvl w:val="0"/>
          <w:numId w:val="2"/>
        </w:numPr>
      </w:pPr>
      <w:r>
        <w:rPr>
          <w:sz w:val="22"/>
          <w:szCs w:val="22"/>
        </w:rPr>
        <w:t xml:space="preserve">Salary slips (last 3 months) and bank statements (last 6 months) for salaried.</w:t>
      </w:r>
    </w:p>
    <w:p>
      <w:pPr>
        <w:pStyle w:val="ListParagraph"/>
        <w:numPr>
          <w:ilvl w:val="0"/>
          <w:numId w:val="2"/>
        </w:numPr>
      </w:pPr>
      <w:r>
        <w:rPr>
          <w:sz w:val="22"/>
          <w:szCs w:val="22"/>
        </w:rPr>
        <w:t xml:space="preserve">ITR (last 2 years) and bank statements (last 12 months) for self-employed.</w:t>
      </w:r>
    </w:p>
    <w:p>
      <w:r>
        <w:t xml:space="preserve"/>
      </w:r>
    </w:p>
    <w:p>
      <w:pPr>
        <w:pStyle w:val="Heading3"/>
      </w:pPr>
      <w:r>
        <w:rPr>
          <w:b/>
          <w:bCs/>
          <w:sz w:val="22"/>
          <w:szCs w:val="22"/>
        </w:rPr>
        <w:t xml:space="preserve">4.3 Loan Affordability</w:t>
      </w:r>
    </w:p>
    <w:p>
      <w:r>
        <w:rPr>
          <w:sz w:val="22"/>
          <w:szCs w:val="22"/>
        </w:rPr>
        <w:t xml:space="preserve">The maximum EMI payable is computed as: (NMI x FOIR limit) minus existing EMI obligations. The loan amount is capped at the amount resulting in an EMI within this limit.</w:t>
      </w:r>
    </w:p>
    <w:p>
      <w:r>
        <w:t xml:space="preserve"/>
      </w:r>
    </w:p>
    <w:p>
      <w:pPr>
        <w:pStyle w:val="Heading2"/>
      </w:pPr>
      <w:r>
        <w:rPr>
          <w:b/>
          <w:bCs/>
          <w:sz w:val="24"/>
          <w:szCs w:val="24"/>
        </w:rPr>
        <w:t xml:space="preserve">5. Disbursement</w:t>
      </w:r>
    </w:p>
    <w:p>
      <w:r>
        <w:rPr>
          <w:sz w:val="22"/>
          <w:szCs w:val="22"/>
        </w:rPr>
        <w:t xml:space="preserve">Personal loan disbursement is made directly to the borrower's savings or current account held with the Bank, or via NEFT to an account held with another bank. Disbursement to third-party accounts other than the borrower's own accounts is not permitted except for pre-approved top-up on existing loans for bill payment purposes.</w:t>
      </w:r>
    </w:p>
    <w:p>
      <w:r>
        <w:t xml:space="preserve"/>
      </w:r>
    </w:p>
    <w:p>
      <w:pPr>
        <w:pStyle w:val="Heading2"/>
      </w:pPr>
      <w:r>
        <w:rPr>
          <w:b/>
          <w:bCs/>
          <w:sz w:val="24"/>
          <w:szCs w:val="24"/>
        </w:rPr>
        <w:t xml:space="preserve">6. Collection and Delinquency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DPD Bucket</w:t>
            </w:r>
          </w:p>
        </w:tc>
        <w:tc>
          <w:tcPr>
            <w:tcW w:type="dxa" w:w="6860"/>
            <w:tcBorders>
              <w:top w:val="single" w:color="999999" w:sz="1"/>
              <w:left w:val="single" w:color="999999" w:sz="1"/>
              <w:bottom w:val="single" w:color="999999" w:sz="1"/>
              <w:right w:val="single" w:color="999999" w:sz="1"/>
            </w:tcBorders>
            <w:shd w:fill="D9D9D9" w:val="clear"/>
            <w:tcMar>
              <w:top w:type="dxa" w:w="80"/>
              <w:left w:type="dxa" w:w="100"/>
              <w:bottom w:type="dxa" w:w="80"/>
              <w:right w:type="dxa" w:w="100"/>
            </w:tcMar>
          </w:tcPr>
          <w:p>
            <w:r>
              <w:rPr>
                <w:b/>
                <w:bCs/>
                <w:sz w:val="20"/>
                <w:szCs w:val="20"/>
              </w:rPr>
              <w:t xml:space="preserve">Action</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0 DPD (Current)</w:t>
            </w:r>
          </w:p>
        </w:tc>
        <w:tc>
          <w:tcPr>
            <w:tcW w:type="dxa" w:w="6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Normal account; NACH/ECS debit on due date</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1–30 DPD</w:t>
            </w:r>
          </w:p>
        </w:tc>
        <w:tc>
          <w:tcPr>
            <w:tcW w:type="dxa" w:w="6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Automated SMS/email reminder; tele-calling on Day 5 and Day 15</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31–60 DPD</w:t>
            </w:r>
          </w:p>
        </w:tc>
        <w:tc>
          <w:tcPr>
            <w:tcW w:type="dxa" w:w="6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Escalated tele-calling; field visit if unresponsive; legal notice preparation</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61–90 DPD</w:t>
            </w:r>
          </w:p>
        </w:tc>
        <w:tc>
          <w:tcPr>
            <w:tcW w:type="dxa" w:w="6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NPA classification imminent; senior collection officer involvement; OTS/settlement discussion</w:t>
            </w:r>
          </w:p>
        </w:tc>
      </w:tr>
      <w:tr>
        <w:tc>
          <w:tcPr>
            <w:tcW w:type="dxa" w:w="250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90+ DPD</w:t>
            </w:r>
          </w:p>
        </w:tc>
        <w:tc>
          <w:tcPr>
            <w:tcW w:type="dxa" w:w="6860"/>
            <w:tcBorders>
              <w:top w:val="single" w:color="999999" w:sz="1"/>
              <w:left w:val="single" w:color="999999" w:sz="1"/>
              <w:bottom w:val="single" w:color="999999" w:sz="1"/>
              <w:right w:val="single" w:color="999999" w:sz="1"/>
            </w:tcBorders>
            <w:tcMar>
              <w:top w:type="dxa" w:w="80"/>
              <w:left w:type="dxa" w:w="100"/>
              <w:bottom w:type="dxa" w:w="80"/>
              <w:right w:type="dxa" w:w="100"/>
            </w:tcMar>
          </w:tcPr>
          <w:p>
            <w:r>
              <w:rPr>
                <w:sz w:val="20"/>
                <w:szCs w:val="20"/>
              </w:rPr>
              <w:t xml:space="preserve">Classified as NPA per RBI IRAC norms; referred to recovery/legal</w:t>
            </w:r>
          </w:p>
        </w:tc>
      </w:tr>
    </w:tbl>
    <w:p>
      <w:r>
        <w:t xml:space="preserve"/>
      </w:r>
    </w:p>
    <w:p>
      <w:pPr>
        <w:pStyle w:val="Heading2"/>
      </w:pPr>
      <w:r>
        <w:rPr>
          <w:b/>
          <w:bCs/>
          <w:sz w:val="24"/>
          <w:szCs w:val="24"/>
        </w:rPr>
        <w:t xml:space="preserve">7. Takeover / Balance Transfer</w:t>
      </w:r>
    </w:p>
    <w:p>
      <w:r>
        <w:rPr>
          <w:sz w:val="22"/>
          <w:szCs w:val="22"/>
        </w:rPr>
        <w:t xml:space="preserve">The Bank may take over personal loan accounts from other institutions subject to: the account having a clean repayment track record for at least 12 months (0 DPD in last 12 months), and the customer meeting all current eligibility criteria. Takeover processing fee is as per Schedule of Charges.</w:t>
      </w:r>
    </w:p>
    <w:p>
      <w:r>
        <w:t xml:space="preserve"/>
      </w:r>
    </w:p>
    <w:p>
      <w:pPr>
        <w:pStyle w:val="Heading2"/>
      </w:pPr>
      <w:r>
        <w:rPr>
          <w:b/>
          <w:bCs/>
          <w:sz w:val="24"/>
          <w:szCs w:val="24"/>
        </w:rPr>
        <w:t xml:space="preserve">8. Pre-Approved Personal Loans</w:t>
      </w:r>
    </w:p>
    <w:p>
      <w:r>
        <w:rPr>
          <w:sz w:val="22"/>
          <w:szCs w:val="22"/>
        </w:rPr>
        <w:t xml:space="preserve">The Bank may offer pre-approved personal loans (PAPL) to eligible existing customers based on internal data analytics, credit bureau scores, and account behavior. PAPL offers are made only to customers with:</w:t>
      </w:r>
    </w:p>
    <w:p>
      <w:pPr>
        <w:pStyle w:val="ListParagraph"/>
        <w:numPr>
          <w:ilvl w:val="0"/>
          <w:numId w:val="2"/>
        </w:numPr>
      </w:pPr>
      <w:r>
        <w:rPr>
          <w:sz w:val="22"/>
          <w:szCs w:val="22"/>
        </w:rPr>
        <w:t xml:space="preserve">Active savings or salary account with minimum 6 months tenure.</w:t>
      </w:r>
    </w:p>
    <w:p>
      <w:pPr>
        <w:pStyle w:val="ListParagraph"/>
        <w:numPr>
          <w:ilvl w:val="0"/>
          <w:numId w:val="2"/>
        </w:numPr>
      </w:pPr>
      <w:r>
        <w:rPr>
          <w:sz w:val="22"/>
          <w:szCs w:val="22"/>
        </w:rPr>
        <w:t xml:space="preserve">CIBIL score of 750 or above.</w:t>
      </w:r>
    </w:p>
    <w:p>
      <w:pPr>
        <w:pStyle w:val="ListParagraph"/>
        <w:numPr>
          <w:ilvl w:val="0"/>
          <w:numId w:val="2"/>
        </w:numPr>
      </w:pPr>
      <w:r>
        <w:rPr>
          <w:sz w:val="22"/>
          <w:szCs w:val="22"/>
        </w:rPr>
        <w:t xml:space="preserve">No adverse account conduct in the last 12 months.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2026-05-09T07:00:36.625Z</dcterms:created>
  <dcterms:modified xsi:type="dcterms:W3CDTF">2026-05-09T07:00:36.625Z</dcterms:modified>
</cp:coreProperties>
</file>

<file path=docProps/custom.xml><?xml version="1.0" encoding="utf-8"?>
<Properties xmlns="http://schemas.openxmlformats.org/officeDocument/2006/custom-properties" xmlns:vt="http://schemas.openxmlformats.org/officeDocument/2006/docPropsVTypes"/>
</file>