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Loan Restructuring Policy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Restructuring Policy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POL-1911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 April 2025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Owner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Chief Credit Officer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Risk Management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 Risk &amp; Compliance Committee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Internal – Restricted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1. Purpose</w:t>
      </w:r>
    </w:p>
    <w:p>
      <w:r>
        <w:rPr>
          <w:sz w:val="22"/>
          <w:szCs w:val="22"/>
        </w:rPr>
        <w:t xml:space="preserve">This policy defines the framework for restructuring credit facilities where a borrower experiences genuine financial stress but retains long-term viability. Restructuring is a tool of last resort and must not be used to avoid NPA classification or to conceal deteriorating asset quality.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 Regulatory Basis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RBI Master Circular – Prudential Norms on Income Recognition, Asset Classification and Provisioning pertaining to Advances (IRACP Norms)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RBI Prudential Framework for Resolution of Stressed Assets, 2019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Reserve Bank of India (Transfer of Loan Exposures) Directions, 2021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 Eligibility for Restructuring</w:t>
      </w:r>
    </w:p>
    <w:p>
      <w:r>
        <w:rPr>
          <w:sz w:val="22"/>
          <w:szCs w:val="22"/>
        </w:rPr>
        <w:t xml:space="preserve">Restructuring is considered only where all of the following conditions are met: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borrower is experiencing genuine financial difficulty due to identifiable, documented reasons.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borrower's business/income is assessed to be viable in the medium to long term.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borrower has not been classified as a wilful defaulter or fraud.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restructuring is not driven by the intent to delay NPA classification.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Restructuring has the potential to result in full recovery of the Bank's dues.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4. Types of Restructuring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Rescheduling of Repayment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Extension of tenure or step-up EMI structure to reduce near-term burden.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Moratorium on Principal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Temporary suspension of principal repayment (interest continues); maximum 24 months per RBI.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Interest Rate Reset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Temporary reduction in rate during stress period; must be within RBI guidelines.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Conversion of Interest to FITL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Funded Interest Term Loan (FITL) for accumulated unpaid interest.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OTS (One-Time Settlement)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and final settlement at a negotiated amount below total dues; requires Board/CCO approval.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Debt Restructuring under IBC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Resolution Plan under NCLT / Insolvency and Bankruptcy Code for eligible accounts.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 Asset Classification Post-Restructuring</w:t>
      </w:r>
    </w:p>
    <w:p>
      <w:r>
        <w:rPr>
          <w:sz w:val="22"/>
          <w:szCs w:val="22"/>
        </w:rPr>
        <w:t xml:space="preserve">Per RBI norms, all restructured accounts are classified as Non-Performing Assets (NPA) or retain the NPA classification until the account demonstrates satisfactory performance for a minimum of 12 months post-restructuring. Provisioning norms applicable to restructured accounts are as per the prevailing IRACP norms.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 Approval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Exposure Size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Authority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 to INR 5 crore (Retail / MSME)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Committee – Level 1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5 crore to INR 50 crore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Committee – Level 2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50 crore to INR 200 crore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Committee – Level 3 including CCO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Above INR 200 crore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 Credit Committee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OTS in all cases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Additional CCO sign-off; Board approval above INR 25 crore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7. Restructuring Plan Requirements</w:t>
      </w:r>
    </w:p>
    <w:p>
      <w:r>
        <w:rPr>
          <w:sz w:val="22"/>
          <w:szCs w:val="22"/>
        </w:rPr>
        <w:t xml:space="preserve">A restructuring proposal must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Detailed assessment of the borrower's current and projected financial position.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Identified cause of financial stress and its expected resolution timeline.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Revised repayment schedule and projections demonstrating viability.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Updated valuation of security and proposed security enhancement if any.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Sensitivity analysis on key assumptions.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Comparison of economic value under restructuring vs. NPA recovery route.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8. Monitoring Post-Restructuring</w:t>
      </w:r>
    </w:p>
    <w:p>
      <w:r>
        <w:rPr>
          <w:sz w:val="22"/>
          <w:szCs w:val="22"/>
        </w:rPr>
        <w:t xml:space="preserve">Restructured accounts must be placed under enhanced monitoring: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Monthly review for first 12 months.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Quarterly review thereafter.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Quarterly reporting to the Credit Risk Management Committee.</w:t>
      </w:r>
    </w:p>
    <w:p>
      <w:r>
        <w:rPr>
          <w:sz w:val="22"/>
          <w:szCs w:val="22"/>
        </w:rPr>
        <w:t xml:space="preserve">Any breach of restructuring conditions triggers immediate escalation and potential classification as NPA.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9. Prohibited Restructuring</w:t>
      </w:r>
    </w:p>
    <w:p>
      <w:r>
        <w:rPr>
          <w:sz w:val="22"/>
          <w:szCs w:val="22"/>
        </w:rPr>
        <w:t xml:space="preserve">The Bank shall not structure or approve a restructuring that: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Serves to avoid or delay NPA recognition.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Provides benefit to connected parties of the borrower at the Bank's expense.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not accompanied by commensurate recoveries or security enhancement.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Involves release of personal guarantees without Board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2026-05-09T07:00:36.685Z</dcterms:created>
  <dcterms:modified xsi:type="dcterms:W3CDTF">2026-05-09T07:00:36.685Z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