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NPA (Non-Performing Asset) Management Policy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NPA (Non-Performing Asset) Management Policy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POL-7124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April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Owner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Chief Credit Officer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Risk Management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Risk &amp; Compliance Committee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– Restricted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Purpose</w:t>
      </w:r>
    </w:p>
    <w:p>
      <w:r>
        <w:rPr>
          <w:sz w:val="22"/>
          <w:szCs w:val="22"/>
        </w:rPr>
        <w:t xml:space="preserve">This policy establishes the framework for the identification, classification, provisioning, monitoring, and recovery of Non-Performing Assets (NPAs) in accordance with RBI's Income Recognition, Asset Classification and Provisioning (IRACP) norms.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Asset Classification – IRACP Norms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Standard Asset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default or irregularity; does not carry more than normal risk.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Sub-Standard Asset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NPA for a period not exceeding 12 months.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Doubtful Asset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NPA for more than 12 months. Sub-classified as D1 (up to 1 year as doubtful), D2 (1–3 years), D3 (more than 3 years).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Loss Asset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asset where loss has been identified by the Bank, internal auditors, or RBI inspectors; not yet written off.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NPA Identification Criteria</w:t>
      </w:r>
    </w:p>
    <w:p>
      <w:r>
        <w:rPr>
          <w:sz w:val="22"/>
          <w:szCs w:val="22"/>
        </w:rPr>
        <w:t xml:space="preserve">An asset is classified as NPA when: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Interest or principal repayment remains overdue for more than 90 days in respect of a term loan.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account remains out of order for more than 90 days in respect of CC/OD facilities.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bill remains overdue for more than 90 days in respect of bills purchased and discounted.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Crop loans: overdue for two crop seasons (short duration crops) or one crop season (long duration crops).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Provisioning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Asset Category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Provisioning Rate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Standard (General)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0.25%–1.00% (depends on sector per RBI guidelines)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Sub-Standard (Secured)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15% of outstanding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Sub-Standard (Unsecured)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25% of outstanding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Doubtful – D1 (up to 1 year)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25% of secured portion + 100% of unsecured portion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Doubtful – D2 (1–3 years)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40% of secured portion + 100% of unsecured portion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Doubtful – D3 (above 3 years)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 of outstanding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Loss Asset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 of outstanding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Early Warning Signals (EWS)</w:t>
      </w:r>
    </w:p>
    <w:p>
      <w:r>
        <w:rPr>
          <w:sz w:val="22"/>
          <w:szCs w:val="22"/>
        </w:rPr>
        <w:t xml:space="preserve">The Bank's EWS framework identifies accounts showing signs of stress before NPA classification. Key EWS indicators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 of cheques / NACH dishonour on multiple occasions.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Continuous over-utilisation or under-utilisation of CC/OD limit.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Delayed submission of financial statements or stock statements.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Frequent requests for rollovers or payment extensions.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Sharp decline in stock or debtor levels inconsistent with operations.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Adverse media or regulatory actions on the borrower.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 downgrade by external credit rating agency.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Special Mention Accounts (SMA)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SMA Category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Basis for Classification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SMA-0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Principal or interest not overdue but showing signs of incipient stress (per EWS criteria)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SMA-1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Principal or interest overdue between 1–30 days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SMA-2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Principal or interest overdue between 31–90 days</w:t>
            </w:r>
          </w:p>
        </w:tc>
      </w:tr>
    </w:tbl>
    <w:p>
      <w:r>
        <w:rPr>
          <w:sz w:val="22"/>
          <w:szCs w:val="22"/>
        </w:rPr>
        <w:t xml:space="preserve">All SMA-2 accounts with aggregate exposure above INR 5 crore must be reported to CRILC (Central Repository of Information on Large Credits) on a weekly basis.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Recovery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Exposure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Preferred Recovery Route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Retail &lt; INR 10 lakh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Collection team; LOK Adalat; credit counselling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Retail / MSME INR 10 lakh to INR 1 crore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DRT filing; One-Time Settlement; SARFAESI (secured)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MSME / Corporate INR 1 crore to INR 10 crore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SARFAESI; DRT; IBC where viable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Corporate &gt; INR 10 crore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IBC / NCLT; Asset Reconstruction Company (ARC) sale; Inter-creditor Agreement (ICA)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Write-Off Policy</w:t>
      </w:r>
    </w:p>
    <w:p>
      <w:r>
        <w:rPr>
          <w:sz w:val="22"/>
          <w:szCs w:val="22"/>
        </w:rPr>
        <w:t xml:space="preserve">A loan may be written off when it is classified as a Loss Asset and there is no realistic prospect of recovery. Write-off requires: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Board approval for amounts above INR 1 crore.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CCO approval for amounts below INR 1 crore.</w:t>
      </w:r>
    </w:p>
    <w:p>
      <w:r>
        <w:rPr>
          <w:sz w:val="22"/>
          <w:szCs w:val="22"/>
        </w:rPr>
        <w:t xml:space="preserve">Write-off is an accounting action and does not extinguish the Bank's legal right to recover. Recovery post-write-off is credited to Profit &amp; Loss and counted toward recovery targets.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9. Reporting</w:t>
      </w:r>
    </w:p>
    <w:p>
      <w:r>
        <w:rPr>
          <w:sz w:val="22"/>
          <w:szCs w:val="22"/>
        </w:rPr>
        <w:t xml:space="preserve">Monthly NPA reports including gross NPA, net NPA, provision coverage ratio (PCR), and recovery performance are presented to the Credit Risk Management Committee and the Board Risk &amp; Compliance Committee. Quarterly disclosures are made in financial statements as per RBI and SEBI requirements.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2026-05-09T07:00:36.717Z</dcterms:created>
  <dcterms:modified xsi:type="dcterms:W3CDTF">2026-05-09T07:00:36.717Z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