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Collateral &amp; Security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Field</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Details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Document Title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Collateral &amp; Security Policy</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Number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POL-8447</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Version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Effective Date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01 April 2025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Review Cycle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Annual</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Owner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Chief Credit Officer</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Department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Credit Risk Management</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Approved By</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Risk &amp; Compliance Committee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Classification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Internal – Restricted</w:t>
            </w:r>
          </w:p>
        </w:tc>
      </w:tr>
    </w:tbl>
    <w:p>
      <w:r>
        <w:t xml:space="preserve"/>
      </w:r>
    </w:p>
    <w:p>
      <w:pPr>
        <w:pStyle w:val="Heading2"/>
      </w:pPr>
      <w:r>
        <w:rPr>
          <w:b/>
          <w:bCs/>
          <w:sz w:val="24"/>
          <w:szCs w:val="24"/>
        </w:rPr>
        <w:t xml:space="preserve">1. Purpose</w:t>
      </w:r>
    </w:p>
    <w:p>
      <w:r>
        <w:rPr>
          <w:sz w:val="22"/>
          <w:szCs w:val="22"/>
        </w:rPr>
        <w:t xml:space="preserve">This policy defines the standards for accepting, valuing, perfecting, and managing collateral and other security interests taken by the Bank in connection with credit facilities. Adequate security does not substitute for creditworthiness assessment; it is a secondary source of repayment.</w:t>
      </w:r>
    </w:p>
    <w:p>
      <w:r>
        <w:t xml:space="preserve"/>
      </w:r>
    </w:p>
    <w:p>
      <w:pPr>
        <w:pStyle w:val="Heading2"/>
      </w:pPr>
      <w:r>
        <w:rPr>
          <w:b/>
          <w:bCs/>
          <w:sz w:val="24"/>
          <w:szCs w:val="24"/>
        </w:rPr>
        <w:t xml:space="preserve">2. Types of Acceptable Collateral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Collateral Type</w:t>
            </w:r>
          </w:p>
        </w:tc>
        <w:tc>
          <w:tcPr>
            <w:tcW w:type="dxa" w:w="28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Acceptable For</w:t>
            </w:r>
          </w:p>
        </w:tc>
        <w:tc>
          <w:tcPr>
            <w:tcW w:type="dxa" w:w="37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Notes</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Immovable Property (Residential)</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Home loans, mortgage loans, MSME loans</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Clear title; no encumbrance; equitable or registered mortgage</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Immovable Property (Commercial / Industrial)</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Corporate loans, project finance</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Title search mandatory; environmental clearance may be required</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Hypothecation of Movable Assets (Stock, Debtors)</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Working capital facilities</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Monthly stock statements required; periodic physical inspection</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Fixed Deposit (Bank's own)</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Any facility</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Lien marked in CBS; highest quality collateral</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Shares and Securities (listed)</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Loan Against Shares; pledge limits per RBI/SEBI</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Demat pledge; margin to apply; approved scrip list</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Gold / Gold Jewellery</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Gold loans</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Purity assessment by Bank appraiser; LTV per RBI (75%)</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Life Insurance Policies</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Any facility (supplementary)</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Surrender value assessment; assignment in favour of Bank</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Central / State Government Securities</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Any facility</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Pledge or assignment in favour of Bank</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Plant and Machinery</w:t>
            </w:r>
          </w:p>
        </w:tc>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Term loans for equipment purchase</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Hypothecation; insurance maintained with Bank interest noted</w:t>
            </w:r>
          </w:p>
        </w:tc>
      </w:tr>
    </w:tbl>
    <w:p>
      <w:r>
        <w:t xml:space="preserve"/>
      </w:r>
    </w:p>
    <w:p>
      <w:pPr>
        <w:pStyle w:val="Heading2"/>
      </w:pPr>
      <w:r>
        <w:rPr>
          <w:b/>
          <w:bCs/>
          <w:sz w:val="24"/>
          <w:szCs w:val="24"/>
        </w:rPr>
        <w:t xml:space="preserve">3. Unacceptable Collateral</w:t>
      </w:r>
    </w:p>
    <w:p>
      <w:pPr>
        <w:pStyle w:val="ListParagraph"/>
        <w:numPr>
          <w:ilvl w:val="0"/>
          <w:numId w:val="2"/>
        </w:numPr>
      </w:pPr>
      <w:r>
        <w:rPr>
          <w:sz w:val="22"/>
          <w:szCs w:val="22"/>
        </w:rPr>
        <w:t xml:space="preserve">Property in the name of a third party without executed guarantee and consent.</w:t>
      </w:r>
    </w:p>
    <w:p>
      <w:pPr>
        <w:pStyle w:val="ListParagraph"/>
        <w:numPr>
          <w:ilvl w:val="0"/>
          <w:numId w:val="2"/>
        </w:numPr>
      </w:pPr>
      <w:r>
        <w:rPr>
          <w:sz w:val="22"/>
          <w:szCs w:val="22"/>
        </w:rPr>
        <w:t xml:space="preserve">Agricultural land in states where banks are barred from holding such security.</w:t>
      </w:r>
    </w:p>
    <w:p>
      <w:pPr>
        <w:pStyle w:val="ListParagraph"/>
        <w:numPr>
          <w:ilvl w:val="0"/>
          <w:numId w:val="2"/>
        </w:numPr>
      </w:pPr>
      <w:r>
        <w:rPr>
          <w:sz w:val="22"/>
          <w:szCs w:val="22"/>
        </w:rPr>
        <w:t xml:space="preserve">Property subject to litigation, acquisition, or disputed title.</w:t>
      </w:r>
    </w:p>
    <w:p>
      <w:pPr>
        <w:pStyle w:val="ListParagraph"/>
        <w:numPr>
          <w:ilvl w:val="0"/>
          <w:numId w:val="2"/>
        </w:numPr>
      </w:pPr>
      <w:r>
        <w:rPr>
          <w:sz w:val="22"/>
          <w:szCs w:val="22"/>
        </w:rPr>
        <w:t xml:space="preserve">Unlisted securities or shares of private limited companies (as primary security).</w:t>
      </w:r>
    </w:p>
    <w:p>
      <w:pPr>
        <w:pStyle w:val="ListParagraph"/>
        <w:numPr>
          <w:ilvl w:val="0"/>
          <w:numId w:val="2"/>
        </w:numPr>
      </w:pPr>
      <w:r>
        <w:rPr>
          <w:sz w:val="22"/>
          <w:szCs w:val="22"/>
        </w:rPr>
        <w:t xml:space="preserve">Perishable goods or commodities without adequate warehousing and insurance.</w:t>
      </w:r>
    </w:p>
    <w:p>
      <w:r>
        <w:t xml:space="preserve"/>
      </w:r>
    </w:p>
    <w:p>
      <w:pPr>
        <w:pStyle w:val="Heading2"/>
      </w:pPr>
      <w:r>
        <w:rPr>
          <w:b/>
          <w:bCs/>
          <w:sz w:val="24"/>
          <w:szCs w:val="24"/>
        </w:rPr>
        <w:t xml:space="preserve">4. Valuation Standards</w:t>
      </w:r>
    </w:p>
    <w:p>
      <w:pPr>
        <w:pStyle w:val="Heading3"/>
      </w:pPr>
      <w:r>
        <w:rPr>
          <w:b/>
          <w:bCs/>
          <w:sz w:val="22"/>
          <w:szCs w:val="22"/>
        </w:rPr>
        <w:t xml:space="preserve">4.1 Immovable Property</w:t>
      </w:r>
    </w:p>
    <w:p>
      <w:r>
        <w:rPr>
          <w:sz w:val="22"/>
          <w:szCs w:val="22"/>
        </w:rPr>
        <w:t xml:space="preserve">Valuation must be conducted by a Bank-empanelled approved valuer. Valuation reports are valid for 6 months. For loans above INR 1 crore, two independent valuations are required and the lower is adopted for LTV computation. Desktop valuations or automated valuation models may only be used for properties below INR 50 lakh with Credit Head approval.</w:t>
      </w:r>
    </w:p>
    <w:p>
      <w:r>
        <w:t xml:space="preserve"/>
      </w:r>
    </w:p>
    <w:p>
      <w:pPr>
        <w:pStyle w:val="Heading3"/>
      </w:pPr>
      <w:r>
        <w:rPr>
          <w:b/>
          <w:bCs/>
          <w:sz w:val="22"/>
          <w:szCs w:val="22"/>
        </w:rPr>
        <w:t xml:space="preserve">4.2 Movable Assets</w:t>
      </w:r>
    </w:p>
    <w:p>
      <w:r>
        <w:rPr>
          <w:sz w:val="22"/>
          <w:szCs w:val="22"/>
        </w:rPr>
        <w:t xml:space="preserve">Value is determined by market price, invoice value, or book value, less applicable haircut as per the Bank's Collateral Haircut Schedule. Haircuts are reviewed semi-annually by the Risk Management Committee.</w:t>
      </w:r>
    </w:p>
    <w:p>
      <w:r>
        <w:t xml:space="preserve"/>
      </w:r>
    </w:p>
    <w:p>
      <w:pPr>
        <w:pStyle w:val="Heading3"/>
      </w:pPr>
      <w:r>
        <w:rPr>
          <w:b/>
          <w:bCs/>
          <w:sz w:val="22"/>
          <w:szCs w:val="22"/>
        </w:rPr>
        <w:t xml:space="preserve">4.3 Listed Securities</w:t>
      </w:r>
    </w:p>
    <w:p>
      <w:r>
        <w:rPr>
          <w:sz w:val="22"/>
          <w:szCs w:val="22"/>
        </w:rPr>
        <w:t xml:space="preserve">Securities are marked to market daily using exchange closing prices. Margin calls are triggered when LTV exceeds the prescribed threshold. The borrower must restore the margin within 2 working days of a margin call.</w:t>
      </w:r>
    </w:p>
    <w:p>
      <w:r>
        <w:t xml:space="preserve"/>
      </w:r>
    </w:p>
    <w:p>
      <w:pPr>
        <w:pStyle w:val="Heading2"/>
      </w:pPr>
      <w:r>
        <w:rPr>
          <w:b/>
          <w:bCs/>
          <w:sz w:val="24"/>
          <w:szCs w:val="24"/>
        </w:rPr>
        <w:t xml:space="preserve">5. Perfection of Security</w:t>
      </w:r>
    </w:p>
    <w:p>
      <w:r>
        <w:rPr>
          <w:sz w:val="22"/>
          <w:szCs w:val="22"/>
        </w:rPr>
        <w:t xml:space="preserve">Security must be legally perfected before disbursement. Perfection requirements:</w:t>
      </w:r>
    </w:p>
    <w:p>
      <w:pPr>
        <w:pStyle w:val="ListParagraph"/>
        <w:numPr>
          <w:ilvl w:val="0"/>
          <w:numId w:val="2"/>
        </w:numPr>
      </w:pPr>
      <w:r>
        <w:rPr>
          <w:sz w:val="22"/>
          <w:szCs w:val="22"/>
        </w:rPr>
        <w:t xml:space="preserve">Equitable mortgage: Deposit of title deeds in the presence of a Bank official; recorded in register.</w:t>
      </w:r>
    </w:p>
    <w:p>
      <w:pPr>
        <w:pStyle w:val="ListParagraph"/>
        <w:numPr>
          <w:ilvl w:val="0"/>
          <w:numId w:val="2"/>
        </w:numPr>
      </w:pPr>
      <w:r>
        <w:rPr>
          <w:sz w:val="22"/>
          <w:szCs w:val="22"/>
        </w:rPr>
        <w:t xml:space="preserve">Registered mortgage: Registration with the Sub-Registrar's office; CERSAI registration mandatory.</w:t>
      </w:r>
    </w:p>
    <w:p>
      <w:pPr>
        <w:pStyle w:val="ListParagraph"/>
        <w:numPr>
          <w:ilvl w:val="0"/>
          <w:numId w:val="2"/>
        </w:numPr>
      </w:pPr>
      <w:r>
        <w:rPr>
          <w:sz w:val="22"/>
          <w:szCs w:val="22"/>
        </w:rPr>
        <w:t xml:space="preserve">Pledge: Physical custody of assets or demat pledge registered with depository.</w:t>
      </w:r>
    </w:p>
    <w:p>
      <w:pPr>
        <w:pStyle w:val="ListParagraph"/>
        <w:numPr>
          <w:ilvl w:val="0"/>
          <w:numId w:val="2"/>
        </w:numPr>
      </w:pPr>
      <w:r>
        <w:rPr>
          <w:sz w:val="22"/>
          <w:szCs w:val="22"/>
        </w:rPr>
        <w:t xml:space="preserve">Hypothecation: Charge registration on MCA21 (for companies) or CERSAI (immovable).</w:t>
      </w:r>
    </w:p>
    <w:p>
      <w:r>
        <w:t xml:space="preserve"/>
      </w:r>
    </w:p>
    <w:p>
      <w:pPr>
        <w:pStyle w:val="Heading2"/>
      </w:pPr>
      <w:r>
        <w:rPr>
          <w:b/>
          <w:bCs/>
          <w:sz w:val="24"/>
          <w:szCs w:val="24"/>
        </w:rPr>
        <w:t xml:space="preserve">6. CERSAI Registration</w:t>
      </w:r>
    </w:p>
    <w:p>
      <w:r>
        <w:rPr>
          <w:sz w:val="22"/>
          <w:szCs w:val="22"/>
        </w:rPr>
        <w:t xml:space="preserve">The Bank must register all security interests (mortgage, hypothecation, pledge) on the Central Registry of Securitisation Asset Reconstruction and Security Interest (CERSAI) portal within 30 days of creation of the security interest, as required under SARFAESI Act, 2002.</w:t>
      </w:r>
    </w:p>
    <w:p>
      <w:r>
        <w:t xml:space="preserve"/>
      </w:r>
    </w:p>
    <w:p>
      <w:pPr>
        <w:pStyle w:val="Heading2"/>
      </w:pPr>
      <w:r>
        <w:rPr>
          <w:b/>
          <w:bCs/>
          <w:sz w:val="24"/>
          <w:szCs w:val="24"/>
        </w:rPr>
        <w:t xml:space="preserve">7. Insurance</w:t>
      </w:r>
    </w:p>
    <w:p>
      <w:r>
        <w:rPr>
          <w:sz w:val="22"/>
          <w:szCs w:val="22"/>
        </w:rPr>
        <w:t xml:space="preserve">All tangible collateral must be insured against appropriate perils for a value not less than the Bank's outstanding exposure. The insurance policy must note the Bank's interest as mortgagee / hypothecatee. The borrower is responsible for premium payment; failure to insure triggers the Bank's right to take out insurance at the borrower's cost.</w:t>
      </w:r>
    </w:p>
    <w:p>
      <w:r>
        <w:t xml:space="preserve"/>
      </w:r>
    </w:p>
    <w:p>
      <w:pPr>
        <w:pStyle w:val="Heading2"/>
      </w:pPr>
      <w:r>
        <w:rPr>
          <w:b/>
          <w:bCs/>
          <w:sz w:val="24"/>
          <w:szCs w:val="24"/>
        </w:rPr>
        <w:t xml:space="preserve">8. Collateral Monitoring</w:t>
      </w:r>
    </w:p>
    <w:p>
      <w:pPr>
        <w:pStyle w:val="ListParagraph"/>
        <w:numPr>
          <w:ilvl w:val="0"/>
          <w:numId w:val="2"/>
        </w:numPr>
      </w:pPr>
      <w:r>
        <w:rPr>
          <w:sz w:val="22"/>
          <w:szCs w:val="22"/>
        </w:rPr>
        <w:t xml:space="preserve">Annual revaluation of immovable property for exposures above INR 5 crore.</w:t>
      </w:r>
    </w:p>
    <w:p>
      <w:pPr>
        <w:pStyle w:val="ListParagraph"/>
        <w:numPr>
          <w:ilvl w:val="0"/>
          <w:numId w:val="2"/>
        </w:numPr>
      </w:pPr>
      <w:r>
        <w:rPr>
          <w:sz w:val="22"/>
          <w:szCs w:val="22"/>
        </w:rPr>
        <w:t xml:space="preserve">Monthly stock statements for working capital accounts.</w:t>
      </w:r>
    </w:p>
    <w:p>
      <w:pPr>
        <w:pStyle w:val="ListParagraph"/>
        <w:numPr>
          <w:ilvl w:val="0"/>
          <w:numId w:val="2"/>
        </w:numPr>
      </w:pPr>
      <w:r>
        <w:rPr>
          <w:sz w:val="22"/>
          <w:szCs w:val="22"/>
        </w:rPr>
        <w:t xml:space="preserve">Daily mark-to-market for pledged securities.</w:t>
      </w:r>
    </w:p>
    <w:p>
      <w:pPr>
        <w:pStyle w:val="ListParagraph"/>
        <w:numPr>
          <w:ilvl w:val="0"/>
          <w:numId w:val="2"/>
        </w:numPr>
      </w:pPr>
      <w:r>
        <w:rPr>
          <w:sz w:val="22"/>
          <w:szCs w:val="22"/>
        </w:rPr>
        <w:t xml:space="preserve">Periodic physical inspection of hypothecated assets (at least annual for MSME; semi-annual for corporate).</w:t>
      </w:r>
    </w:p>
    <w:p>
      <w:r>
        <w:t xml:space="preserve"/>
      </w:r>
    </w:p>
    <w:p>
      <w:pPr>
        <w:pStyle w:val="Heading2"/>
      </w:pPr>
      <w:r>
        <w:rPr>
          <w:b/>
          <w:bCs/>
          <w:sz w:val="24"/>
          <w:szCs w:val="24"/>
        </w:rPr>
        <w:t xml:space="preserve">9. Release of Security</w:t>
      </w:r>
    </w:p>
    <w:p>
      <w:r>
        <w:rPr>
          <w:sz w:val="22"/>
          <w:szCs w:val="22"/>
        </w:rPr>
        <w:t xml:space="preserve">Security is released only after full repayment of all outstanding dues including principal, interest, and charges. Release requires approval from the Credit department. Original title documents must be returned to the borrower within 7 working days of full discharge.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2026-05-09T07:00:36.754Z</dcterms:created>
  <dcterms:modified xsi:type="dcterms:W3CDTF">2026-05-09T07:00:36.754Z</dcterms:modified>
</cp:coreProperties>
</file>

<file path=docProps/custom.xml><?xml version="1.0" encoding="utf-8"?>
<Properties xmlns="http://schemas.openxmlformats.org/officeDocument/2006/custom-properties" xmlns:vt="http://schemas.openxmlformats.org/officeDocument/2006/docPropsVTypes"/>
</file>