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sz w:val="28"/>
          <w:szCs w:val="28"/>
        </w:rPr>
        <w:t xml:space="preserve">NEFT / RTGS / IMPS Policy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Field</w:t>
            </w:r>
          </w:p>
        </w:tc>
        <w:tc>
          <w:tcPr>
            <w:tcW w:type="dxa" w:w="636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Details</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Document Title</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NEFT / RTGS / IMPS Policy</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Policy Number</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POL-6644</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Version</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2.1</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Effective Date</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01 April 2025</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Review Cycle</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Annual</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Policy Owner</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Head – Payments Operations</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Department</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Payments &amp; Transaction Banking</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Approved By</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Board Risk &amp; Compliance Committee</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Classification</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Internal – Restricted</w:t>
            </w:r>
          </w:p>
        </w:tc>
      </w:tr>
    </w:tbl>
    <w:p>
      <w:r>
        <w:t xml:space="preserve"/>
      </w:r>
    </w:p>
    <w:p>
      <w:pPr>
        <w:pStyle w:val="Heading2"/>
      </w:pPr>
      <w:r>
        <w:rPr>
          <w:b/>
          <w:bCs/>
          <w:sz w:val="24"/>
          <w:szCs w:val="24"/>
        </w:rPr>
        <w:t xml:space="preserve">1. Purpose</w:t>
      </w:r>
    </w:p>
    <w:p>
      <w:r>
        <w:rPr>
          <w:sz w:val="22"/>
          <w:szCs w:val="22"/>
        </w:rPr>
        <w:t xml:space="preserve">This policy governs the Bank's operations as a participant in the National Electronic Funds Transfer (NEFT), Real Time Gross Settlement (RTGS), and Immediate Payment Service (IMPS) systems. It defines processing standards, transaction limits, cut-off times, and customer communication requirements.</w:t>
      </w:r>
    </w:p>
    <w:p>
      <w:r>
        <w:t xml:space="preserve"/>
      </w:r>
    </w:p>
    <w:p>
      <w:pPr>
        <w:pStyle w:val="Heading2"/>
      </w:pPr>
      <w:r>
        <w:rPr>
          <w:b/>
          <w:bCs/>
          <w:sz w:val="24"/>
          <w:szCs w:val="24"/>
        </w:rPr>
        <w:t xml:space="preserve">2. System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2500"/>
        <w:gridCol w:w="2000"/>
        <w:gridCol w:w="2360"/>
      </w:tblGrid>
      <w:tr>
        <w:tc>
          <w:tcPr>
            <w:tcW w:type="dxa" w:w="10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System</w:t>
            </w:r>
          </w:p>
        </w:tc>
        <w:tc>
          <w:tcPr>
            <w:tcW w:type="dxa" w:w="15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Operator</w:t>
            </w:r>
          </w:p>
        </w:tc>
        <w:tc>
          <w:tcPr>
            <w:tcW w:type="dxa" w:w="25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Settlement Basis</w:t>
            </w:r>
          </w:p>
        </w:tc>
        <w:tc>
          <w:tcPr>
            <w:tcW w:type="dxa" w:w="20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Availability</w:t>
            </w:r>
          </w:p>
        </w:tc>
        <w:tc>
          <w:tcPr>
            <w:tcW w:type="dxa" w:w="236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Minimum / Maximum</w:t>
            </w:r>
          </w:p>
        </w:tc>
      </w:tr>
      <w:tr>
        <w:tc>
          <w:tcPr>
            <w:tcW w:type="dxa" w:w="1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NEFT</w:t>
            </w:r>
          </w:p>
        </w:tc>
        <w:tc>
          <w:tcPr>
            <w:tcW w:type="dxa" w:w="1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RBI</w:t>
            </w:r>
          </w:p>
        </w:tc>
        <w:tc>
          <w:tcPr>
            <w:tcW w:type="dxa" w:w="2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Half-hourly net settlement (48 batches)</w:t>
            </w:r>
          </w:p>
        </w:tc>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24x7x365</w:t>
            </w:r>
          </w:p>
        </w:tc>
        <w:tc>
          <w:tcPr>
            <w:tcW w:type="dxa" w:w="2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No minimum; No maximum (per RBI)</w:t>
            </w:r>
          </w:p>
        </w:tc>
      </w:tr>
      <w:tr>
        <w:tc>
          <w:tcPr>
            <w:tcW w:type="dxa" w:w="1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RTGS</w:t>
            </w:r>
          </w:p>
        </w:tc>
        <w:tc>
          <w:tcPr>
            <w:tcW w:type="dxa" w:w="1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RBI</w:t>
            </w:r>
          </w:p>
        </w:tc>
        <w:tc>
          <w:tcPr>
            <w:tcW w:type="dxa" w:w="2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Real-time individual gross settlement</w:t>
            </w:r>
          </w:p>
        </w:tc>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24x7x365</w:t>
            </w:r>
          </w:p>
        </w:tc>
        <w:tc>
          <w:tcPr>
            <w:tcW w:type="dxa" w:w="2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Minimum INR 2,00,000; No maximum</w:t>
            </w:r>
          </w:p>
        </w:tc>
      </w:tr>
      <w:tr>
        <w:tc>
          <w:tcPr>
            <w:tcW w:type="dxa" w:w="1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IMPS</w:t>
            </w:r>
          </w:p>
        </w:tc>
        <w:tc>
          <w:tcPr>
            <w:tcW w:type="dxa" w:w="1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NPCI</w:t>
            </w:r>
          </w:p>
        </w:tc>
        <w:tc>
          <w:tcPr>
            <w:tcW w:type="dxa" w:w="2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Immediate (real-time)</w:t>
            </w:r>
          </w:p>
        </w:tc>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24x7x365</w:t>
            </w:r>
          </w:p>
        </w:tc>
        <w:tc>
          <w:tcPr>
            <w:tcW w:type="dxa" w:w="2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Up to INR 5,00,000 per transaction (NPCI limit)</w:t>
            </w:r>
          </w:p>
        </w:tc>
      </w:tr>
    </w:tbl>
    <w:p>
      <w:r>
        <w:t xml:space="preserve"/>
      </w:r>
    </w:p>
    <w:p>
      <w:pPr>
        <w:pStyle w:val="Heading2"/>
      </w:pPr>
      <w:r>
        <w:rPr>
          <w:b/>
          <w:bCs/>
          <w:sz w:val="24"/>
          <w:szCs w:val="24"/>
        </w:rPr>
        <w:t xml:space="preserve">3. Transaction Limits – Bank's Internal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600"/>
        <w:gridCol w:w="2360"/>
      </w:tblGrid>
      <w:tr>
        <w:tc>
          <w:tcPr>
            <w:tcW w:type="dxa" w:w="22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Channel</w:t>
            </w:r>
          </w:p>
        </w:tc>
        <w:tc>
          <w:tcPr>
            <w:tcW w:type="dxa" w:w="16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NEFT (per txn)</w:t>
            </w:r>
          </w:p>
        </w:tc>
        <w:tc>
          <w:tcPr>
            <w:tcW w:type="dxa" w:w="16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RTGS (per txn)</w:t>
            </w:r>
          </w:p>
        </w:tc>
        <w:tc>
          <w:tcPr>
            <w:tcW w:type="dxa" w:w="16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IMPS (per txn)</w:t>
            </w:r>
          </w:p>
        </w:tc>
        <w:tc>
          <w:tcPr>
            <w:tcW w:type="dxa" w:w="236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Daily Aggregate</w:t>
            </w:r>
          </w:p>
        </w:tc>
      </w:tr>
      <w:tr>
        <w:tc>
          <w:tcPr>
            <w:tcW w:type="dxa" w:w="22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Internet Banking – Retail</w:t>
            </w:r>
          </w:p>
        </w:tc>
        <w:tc>
          <w:tcPr>
            <w:tcW w:type="dxa" w:w="16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INR 10 lakh</w:t>
            </w:r>
          </w:p>
        </w:tc>
        <w:tc>
          <w:tcPr>
            <w:tcW w:type="dxa" w:w="16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INR 10 lakh</w:t>
            </w:r>
          </w:p>
        </w:tc>
        <w:tc>
          <w:tcPr>
            <w:tcW w:type="dxa" w:w="16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INR 5 lakh</w:t>
            </w:r>
          </w:p>
        </w:tc>
        <w:tc>
          <w:tcPr>
            <w:tcW w:type="dxa" w:w="2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INR 20 lakh</w:t>
            </w:r>
          </w:p>
        </w:tc>
      </w:tr>
      <w:tr>
        <w:tc>
          <w:tcPr>
            <w:tcW w:type="dxa" w:w="22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Internet Banking – Corporate</w:t>
            </w:r>
          </w:p>
        </w:tc>
        <w:tc>
          <w:tcPr>
            <w:tcW w:type="dxa" w:w="16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INR 50 lakh</w:t>
            </w:r>
          </w:p>
        </w:tc>
        <w:tc>
          <w:tcPr>
            <w:tcW w:type="dxa" w:w="16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INR 100 crore</w:t>
            </w:r>
          </w:p>
        </w:tc>
        <w:tc>
          <w:tcPr>
            <w:tcW w:type="dxa" w:w="16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INR 5 lakh</w:t>
            </w:r>
          </w:p>
        </w:tc>
        <w:tc>
          <w:tcPr>
            <w:tcW w:type="dxa" w:w="2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Per corporate mandate</w:t>
            </w:r>
          </w:p>
        </w:tc>
      </w:tr>
      <w:tr>
        <w:tc>
          <w:tcPr>
            <w:tcW w:type="dxa" w:w="22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Mobile Banking</w:t>
            </w:r>
          </w:p>
        </w:tc>
        <w:tc>
          <w:tcPr>
            <w:tcW w:type="dxa" w:w="16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INR 5 lakh</w:t>
            </w:r>
          </w:p>
        </w:tc>
        <w:tc>
          <w:tcPr>
            <w:tcW w:type="dxa" w:w="16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Not available on mobile</w:t>
            </w:r>
          </w:p>
        </w:tc>
        <w:tc>
          <w:tcPr>
            <w:tcW w:type="dxa" w:w="16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INR 5 lakh</w:t>
            </w:r>
          </w:p>
        </w:tc>
        <w:tc>
          <w:tcPr>
            <w:tcW w:type="dxa" w:w="2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INR 10 lakh</w:t>
            </w:r>
          </w:p>
        </w:tc>
      </w:tr>
      <w:tr>
        <w:tc>
          <w:tcPr>
            <w:tcW w:type="dxa" w:w="22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Branch (manual instruction)</w:t>
            </w:r>
          </w:p>
        </w:tc>
        <w:tc>
          <w:tcPr>
            <w:tcW w:type="dxa" w:w="16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No limit (subject to KYC)</w:t>
            </w:r>
          </w:p>
        </w:tc>
        <w:tc>
          <w:tcPr>
            <w:tcW w:type="dxa" w:w="16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No limit (subject to KYC)</w:t>
            </w:r>
          </w:p>
        </w:tc>
        <w:tc>
          <w:tcPr>
            <w:tcW w:type="dxa" w:w="16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N/A</w:t>
            </w:r>
          </w:p>
        </w:tc>
        <w:tc>
          <w:tcPr>
            <w:tcW w:type="dxa" w:w="2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N/A</w:t>
            </w:r>
          </w:p>
        </w:tc>
      </w:tr>
    </w:tbl>
    <w:p>
      <w:r>
        <w:t xml:space="preserve"/>
      </w:r>
    </w:p>
    <w:p>
      <w:pPr>
        <w:pStyle w:val="Heading2"/>
      </w:pPr>
      <w:r>
        <w:rPr>
          <w:b/>
          <w:bCs/>
          <w:sz w:val="24"/>
          <w:szCs w:val="24"/>
        </w:rPr>
        <w:t xml:space="preserve">4. Beneficiary Addition and Cooling Period</w:t>
      </w:r>
    </w:p>
    <w:p>
      <w:r>
        <w:rPr>
          <w:sz w:val="22"/>
          <w:szCs w:val="22"/>
        </w:rPr>
        <w:t xml:space="preserve">For retail internet banking, a mandatory cooling period applies after adding a new beneficiary:</w:t>
      </w:r>
    </w:p>
    <w:p>
      <w:pPr>
        <w:pStyle w:val="ListParagraph"/>
        <w:numPr>
          <w:ilvl w:val="0"/>
          <w:numId w:val="2"/>
        </w:numPr>
      </w:pPr>
      <w:r>
        <w:rPr>
          <w:sz w:val="22"/>
          <w:szCs w:val="22"/>
        </w:rPr>
        <w:t xml:space="preserve">Cooling period: 30 minutes for amounts up to INR 1 lakh; 4 hours for amounts above INR 1 lakh.</w:t>
      </w:r>
    </w:p>
    <w:p>
      <w:pPr>
        <w:pStyle w:val="ListParagraph"/>
        <w:numPr>
          <w:ilvl w:val="0"/>
          <w:numId w:val="2"/>
        </w:numPr>
      </w:pPr>
      <w:r>
        <w:rPr>
          <w:sz w:val="22"/>
          <w:szCs w:val="22"/>
        </w:rPr>
        <w:t xml:space="preserve">During the cooling period, the beneficiary limit is INR 10,000 per transaction.</w:t>
      </w:r>
    </w:p>
    <w:p>
      <w:pPr>
        <w:pStyle w:val="ListParagraph"/>
        <w:numPr>
          <w:ilvl w:val="0"/>
          <w:numId w:val="2"/>
        </w:numPr>
      </w:pPr>
      <w:r>
        <w:rPr>
          <w:sz w:val="22"/>
          <w:szCs w:val="22"/>
        </w:rPr>
        <w:t xml:space="preserve">Customers must authenticate beneficiary addition via OTP to registered mobile number.</w:t>
      </w:r>
    </w:p>
    <w:p>
      <w:r>
        <w:rPr>
          <w:sz w:val="22"/>
          <w:szCs w:val="22"/>
        </w:rPr>
        <w:t xml:space="preserve">Corporate banking customers are exempt from cooling period if their transaction mandate allows pre-approved beneficiary lists.</w:t>
      </w:r>
    </w:p>
    <w:p>
      <w:r>
        <w:t xml:space="preserve"/>
      </w:r>
    </w:p>
    <w:p>
      <w:pPr>
        <w:pStyle w:val="Heading2"/>
      </w:pPr>
      <w:r>
        <w:rPr>
          <w:b/>
          <w:bCs/>
          <w:sz w:val="24"/>
          <w:szCs w:val="24"/>
        </w:rPr>
        <w:t xml:space="preserve">5. Processing Cut-off and Settlement</w:t>
      </w:r>
    </w:p>
    <w:p>
      <w:r>
        <w:rPr>
          <w:sz w:val="22"/>
          <w:szCs w:val="22"/>
        </w:rPr>
        <w:t xml:space="preserve">NEFT transactions submitted after the last batch of the day are processed in the first batch of the next day. RTGS transactions are settled individually in real time. Both systems operate on a 24x7 basis as of December 2019. IMPS transactions are processed in real time at all times.</w:t>
      </w:r>
    </w:p>
    <w:p>
      <w:r>
        <w:t xml:space="preserve"/>
      </w:r>
    </w:p>
    <w:p>
      <w:pPr>
        <w:pStyle w:val="Heading2"/>
      </w:pPr>
      <w:r>
        <w:rPr>
          <w:b/>
          <w:bCs/>
          <w:sz w:val="24"/>
          <w:szCs w:val="24"/>
        </w:rPr>
        <w:t xml:space="preserve">6. Charges</w:t>
      </w:r>
    </w:p>
    <w:p>
      <w:r>
        <w:rPr>
          <w:sz w:val="22"/>
          <w:szCs w:val="22"/>
        </w:rPr>
        <w:t xml:space="preserve">Per RBI guidelines, banks are not permitted to levy customer charges for NEFT transactions (effective January 2020). RTGS charges are prescribed by RBI. The Bank passes on RTGS charges to customers as per the Schedule of Charges. No charges are applicable to inward NEFT/RTGS/IMPS transactions.</w:t>
      </w:r>
    </w:p>
    <w:p>
      <w:r>
        <w:t xml:space="preserve"/>
      </w:r>
    </w:p>
    <w:p>
      <w:pPr>
        <w:pStyle w:val="Heading2"/>
      </w:pPr>
      <w:r>
        <w:rPr>
          <w:b/>
          <w:bCs/>
          <w:sz w:val="24"/>
          <w:szCs w:val="24"/>
        </w:rPr>
        <w:t xml:space="preserve">7. Failed / Return Transactions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c>
          <w:tcPr>
            <w:tcW w:type="dxa" w:w="15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System</w:t>
            </w:r>
          </w:p>
        </w:tc>
        <w:tc>
          <w:tcPr>
            <w:tcW w:type="dxa" w:w="40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Return Reason</w:t>
            </w:r>
          </w:p>
        </w:tc>
        <w:tc>
          <w:tcPr>
            <w:tcW w:type="dxa" w:w="386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Refund Timeline</w:t>
            </w:r>
          </w:p>
        </w:tc>
      </w:tr>
      <w:tr>
        <w:tc>
          <w:tcPr>
            <w:tcW w:type="dxa" w:w="1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NEFT</w:t>
            </w:r>
          </w:p>
        </w:tc>
        <w:tc>
          <w:tcPr>
            <w:tcW w:type="dxa" w:w="4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Invalid account, account closed, account frozen</w:t>
            </w:r>
          </w:p>
        </w:tc>
        <w:tc>
          <w:tcPr>
            <w:tcW w:type="dxa" w:w="3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Within 2 hours of next settlement batch; credited back to remitter</w:t>
            </w:r>
          </w:p>
        </w:tc>
      </w:tr>
      <w:tr>
        <w:tc>
          <w:tcPr>
            <w:tcW w:type="dxa" w:w="1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RTGS</w:t>
            </w:r>
          </w:p>
        </w:tc>
        <w:tc>
          <w:tcPr>
            <w:tcW w:type="dxa" w:w="4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Invalid IFSC, beneficiary bank rejected</w:t>
            </w:r>
          </w:p>
        </w:tc>
        <w:tc>
          <w:tcPr>
            <w:tcW w:type="dxa" w:w="3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Immediate reversal by RTGS system; credited back same day</w:t>
            </w:r>
          </w:p>
        </w:tc>
      </w:tr>
      <w:tr>
        <w:tc>
          <w:tcPr>
            <w:tcW w:type="dxa" w:w="1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IMPS</w:t>
            </w:r>
          </w:p>
        </w:tc>
        <w:tc>
          <w:tcPr>
            <w:tcW w:type="dxa" w:w="4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Account not found, bank timeout, insufficient funds</w:t>
            </w:r>
          </w:p>
        </w:tc>
        <w:tc>
          <w:tcPr>
            <w:tcW w:type="dxa" w:w="3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Immediate reversal; if not, within T+1</w:t>
            </w:r>
          </w:p>
        </w:tc>
      </w:tr>
    </w:tbl>
    <w:p>
      <w:r>
        <w:t xml:space="preserve"/>
      </w:r>
    </w:p>
    <w:p>
      <w:pPr>
        <w:pStyle w:val="Heading2"/>
      </w:pPr>
      <w:r>
        <w:rPr>
          <w:b/>
          <w:bCs/>
          <w:sz w:val="24"/>
          <w:szCs w:val="24"/>
        </w:rPr>
        <w:t xml:space="preserve">8. Customer Communication</w:t>
      </w:r>
    </w:p>
    <w:p>
      <w:r>
        <w:rPr>
          <w:sz w:val="22"/>
          <w:szCs w:val="22"/>
        </w:rPr>
        <w:t xml:space="preserve">The Bank shall send:</w:t>
      </w:r>
    </w:p>
    <w:p>
      <w:pPr>
        <w:pStyle w:val="ListParagraph"/>
        <w:numPr>
          <w:ilvl w:val="0"/>
          <w:numId w:val="2"/>
        </w:numPr>
      </w:pPr>
      <w:r>
        <w:rPr>
          <w:sz w:val="22"/>
          <w:szCs w:val="22"/>
        </w:rPr>
        <w:t xml:space="preserve">SMS and email confirmation on successful NEFT / RTGS / IMPS transaction initiation.</w:t>
      </w:r>
    </w:p>
    <w:p>
      <w:pPr>
        <w:pStyle w:val="ListParagraph"/>
        <w:numPr>
          <w:ilvl w:val="0"/>
          <w:numId w:val="2"/>
        </w:numPr>
      </w:pPr>
      <w:r>
        <w:rPr>
          <w:sz w:val="22"/>
          <w:szCs w:val="22"/>
        </w:rPr>
        <w:t xml:space="preserve">Credit intimation SMS to beneficiary accounts maintained with the Bank.</w:t>
      </w:r>
    </w:p>
    <w:p>
      <w:pPr>
        <w:pStyle w:val="ListParagraph"/>
        <w:numPr>
          <w:ilvl w:val="0"/>
          <w:numId w:val="2"/>
        </w:numPr>
      </w:pPr>
      <w:r>
        <w:rPr>
          <w:sz w:val="22"/>
          <w:szCs w:val="22"/>
        </w:rPr>
        <w:t xml:space="preserve">Return/failure SMS and email with reason code within 2 hours of transaction failure.</w:t>
      </w:r>
    </w:p>
    <w:p>
      <w:r>
        <w:t xml:space="preserve"/>
      </w:r>
    </w:p>
    <w:p>
      <w:pPr>
        <w:pStyle w:val="Heading2"/>
      </w:pPr>
      <w:r>
        <w:rPr>
          <w:b/>
          <w:bCs/>
          <w:sz w:val="24"/>
          <w:szCs w:val="24"/>
        </w:rPr>
        <w:t xml:space="preserve">9. Anti-Money Laundering Obligations</w:t>
      </w:r>
    </w:p>
    <w:p>
      <w:r>
        <w:rPr>
          <w:sz w:val="22"/>
          <w:szCs w:val="22"/>
        </w:rPr>
        <w:t xml:space="preserve">All NEFT/RTGS/IMPS transactions are screened through the Bank's AML transaction monitoring system. Transactions above INR 10 lakh are subject to automated scrutiny for unusual patterns. Cross-border NEFT is not available; international remittances are processed under SWIFT/FEMA framework.</w:t>
      </w:r>
    </w:p>
    <w:p>
      <w:r>
        <w:t xml:space="preserve"/>
      </w:r>
    </w:p>
    <w:p>
      <w:pPr>
        <w:pStyle w:val="Heading2"/>
      </w:pPr>
      <w:r>
        <w:rPr>
          <w:b/>
          <w:bCs/>
          <w:sz w:val="24"/>
          <w:szCs w:val="24"/>
        </w:rPr>
        <w:t xml:space="preserve">10. Regulatory Reporting</w:t>
      </w:r>
    </w:p>
    <w:p>
      <w:r>
        <w:rPr>
          <w:sz w:val="22"/>
          <w:szCs w:val="22"/>
        </w:rPr>
        <w:t xml:space="preserve">All NEFT/RTGS transactions above INR 10 lakh are reported to FIU-IND as part of Cash Transaction Reporting (CTR) obligations if they meet the prescribed criteria. RTGS transaction data is reported to RBI as part of regular returns.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2026-05-09T07:00:36.884Z</dcterms:created>
  <dcterms:modified xsi:type="dcterms:W3CDTF">2026-05-09T07:00:36.884Z</dcterms:modified>
</cp:coreProperties>
</file>

<file path=docProps/custom.xml><?xml version="1.0" encoding="utf-8"?>
<Properties xmlns="http://schemas.openxmlformats.org/officeDocument/2006/custom-properties" xmlns:vt="http://schemas.openxmlformats.org/officeDocument/2006/docPropsVTypes"/>
</file>