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Chargeback &amp; Dispute Resolution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Chargeback &amp; Dispute Resolution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POL-1497</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Head – Cards Operations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Payments Operations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defines the framework for managing customer disputes and chargebacks on debit and credit card transactions, UPI transactions, and other payment instruments. It ensures timely, fair, and compliant resolution of disputes in accordance with card network rules (Visa, Mastercard, RuPay) and RBI guidelines.</w:t>
      </w:r>
    </w:p>
    <w:p>
      <w:r>
        <w:t xml:space="preserve"/>
      </w:r>
    </w:p>
    <w:p>
      <w:pPr>
        <w:pStyle w:val="Heading2"/>
      </w:pPr>
      <w:r>
        <w:rPr>
          <w:b/>
          <w:bCs/>
          <w:sz w:val="24"/>
          <w:szCs w:val="24"/>
        </w:rPr>
        <w:t xml:space="preserve">2. Scope</w:t>
      </w:r>
    </w:p>
    <w:p>
      <w:r>
        <w:rPr>
          <w:sz w:val="22"/>
          <w:szCs w:val="22"/>
        </w:rPr>
        <w:t xml:space="preserve">This policy applies to disputes raised by the Bank's cardholders (issuing function) and disputes raised against the Bank as acquirer by other issuers on behalf of cardholders.</w:t>
      </w:r>
    </w:p>
    <w:p>
      <w:r>
        <w:t xml:space="preserve"/>
      </w:r>
    </w:p>
    <w:p>
      <w:pPr>
        <w:pStyle w:val="Heading2"/>
      </w:pPr>
      <w:r>
        <w:rPr>
          <w:b/>
          <w:bCs/>
          <w:sz w:val="24"/>
          <w:szCs w:val="24"/>
        </w:rPr>
        <w:t xml:space="preserve">3. Types of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Dispute Type</w:t>
            </w:r>
          </w:p>
        </w:tc>
        <w:tc>
          <w:tcPr>
            <w:tcW w:type="dxa" w:w="6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Description</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Fraudulent Transaction</w:t>
            </w:r>
          </w:p>
        </w:tc>
        <w:tc>
          <w:tcPr>
            <w:tcW w:type="dxa" w:w="6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Transaction not authorised by the cardholder (card lost, stolen, skimmed, phished).</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Merchant Dispute</w:t>
            </w:r>
          </w:p>
        </w:tc>
        <w:tc>
          <w:tcPr>
            <w:tcW w:type="dxa" w:w="6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Goods or services not received, not as described, or defective; merchant refused refund.</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Processing Error</w:t>
            </w:r>
          </w:p>
        </w:tc>
        <w:tc>
          <w:tcPr>
            <w:tcW w:type="dxa" w:w="6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Duplicate transaction, incorrect amount charged, transaction processed in wrong currency.</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ATM Dispute</w:t>
            </w:r>
          </w:p>
        </w:tc>
        <w:tc>
          <w:tcPr>
            <w:tcW w:type="dxa" w:w="6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Cash not dispensed or dispensed in partial amount; erroneous debit.</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Not Processed</w:t>
            </w:r>
          </w:p>
        </w:tc>
        <w:tc>
          <w:tcPr>
            <w:tcW w:type="dxa" w:w="6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Merchant issued a refund but credit not received on card account.</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Subscription Dispute</w:t>
            </w:r>
          </w:p>
        </w:tc>
        <w:tc>
          <w:tcPr>
            <w:tcW w:type="dxa" w:w="6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Recurring charge after cancellation of subscription.</w:t>
            </w:r>
          </w:p>
        </w:tc>
      </w:tr>
    </w:tbl>
    <w:p>
      <w:r>
        <w:t xml:space="preserve"/>
      </w:r>
    </w:p>
    <w:p>
      <w:pPr>
        <w:pStyle w:val="Heading2"/>
      </w:pPr>
      <w:r>
        <w:rPr>
          <w:b/>
          <w:bCs/>
          <w:sz w:val="24"/>
          <w:szCs w:val="24"/>
        </w:rPr>
        <w:t xml:space="preserve">4. Dispute Filing Timeline</w:t>
      </w:r>
    </w:p>
    <w:p>
      <w:r>
        <w:rPr>
          <w:sz w:val="22"/>
          <w:szCs w:val="22"/>
        </w:rPr>
        <w:t xml:space="preserve">Customers must raise disputes within the following timeframes:</w:t>
      </w:r>
    </w:p>
    <w:p>
      <w:pPr>
        <w:pStyle w:val="ListParagraph"/>
        <w:numPr>
          <w:ilvl w:val="0"/>
          <w:numId w:val="2"/>
        </w:numPr>
      </w:pPr>
      <w:r>
        <w:rPr>
          <w:sz w:val="22"/>
          <w:szCs w:val="22"/>
        </w:rPr>
        <w:t xml:space="preserve">Card disputes: within 30 days of the statement date on which the disputed transaction appeared.</w:t>
      </w:r>
    </w:p>
    <w:p>
      <w:pPr>
        <w:pStyle w:val="ListParagraph"/>
        <w:numPr>
          <w:ilvl w:val="0"/>
          <w:numId w:val="2"/>
        </w:numPr>
      </w:pPr>
      <w:r>
        <w:rPr>
          <w:sz w:val="22"/>
          <w:szCs w:val="22"/>
        </w:rPr>
        <w:t xml:space="preserve">ATM disputes: within 30 days of the transaction.</w:t>
      </w:r>
    </w:p>
    <w:p>
      <w:pPr>
        <w:pStyle w:val="ListParagraph"/>
        <w:numPr>
          <w:ilvl w:val="0"/>
          <w:numId w:val="2"/>
        </w:numPr>
      </w:pPr>
      <w:r>
        <w:rPr>
          <w:sz w:val="22"/>
          <w:szCs w:val="22"/>
        </w:rPr>
        <w:t xml:space="preserve">UPI disputes: within 30 days of the transaction.</w:t>
      </w:r>
    </w:p>
    <w:p>
      <w:r>
        <w:rPr>
          <w:sz w:val="22"/>
          <w:szCs w:val="22"/>
        </w:rPr>
        <w:t xml:space="preserve">The Bank may consider disputes raised beyond these timelines on a case-by-case basis, subject to card network chargeback time limits.</w:t>
      </w:r>
    </w:p>
    <w:p>
      <w:r>
        <w:t xml:space="preserve"/>
      </w:r>
    </w:p>
    <w:p>
      <w:pPr>
        <w:pStyle w:val="Heading2"/>
      </w:pPr>
      <w:r>
        <w:rPr>
          <w:b/>
          <w:bCs/>
          <w:sz w:val="24"/>
          <w:szCs w:val="24"/>
        </w:rPr>
        <w:t xml:space="preserve">5. Chargeback Process – Issuing Function</w:t>
      </w:r>
    </w:p>
    <w:p>
      <w:pPr>
        <w:pStyle w:val="ListParagraph"/>
        <w:numPr>
          <w:ilvl w:val="0"/>
          <w:numId w:val="3"/>
        </w:numPr>
      </w:pPr>
      <w:r>
        <w:rPr>
          <w:sz w:val="22"/>
          <w:szCs w:val="22"/>
        </w:rPr>
        <w:t xml:space="preserve">Customer lodges dispute via customer care, internet banking, or branch.</w:t>
      </w:r>
    </w:p>
    <w:p>
      <w:pPr>
        <w:pStyle w:val="ListParagraph"/>
        <w:numPr>
          <w:ilvl w:val="0"/>
          <w:numId w:val="3"/>
        </w:numPr>
      </w:pPr>
      <w:r>
        <w:rPr>
          <w:sz w:val="22"/>
          <w:szCs w:val="22"/>
        </w:rPr>
        <w:t xml:space="preserve">Bank raises a chargeback with the card network within the applicable time limit (typically within 30 to 120 days of transaction date per network rules).</w:t>
      </w:r>
    </w:p>
    <w:p>
      <w:pPr>
        <w:pStyle w:val="ListParagraph"/>
        <w:numPr>
          <w:ilvl w:val="0"/>
          <w:numId w:val="3"/>
        </w:numPr>
      </w:pPr>
      <w:r>
        <w:rPr>
          <w:sz w:val="22"/>
          <w:szCs w:val="22"/>
        </w:rPr>
        <w:t xml:space="preserve">Acquirer bank / merchant has the option to provide representment with supporting evidence.</w:t>
      </w:r>
    </w:p>
    <w:p>
      <w:pPr>
        <w:pStyle w:val="ListParagraph"/>
        <w:numPr>
          <w:ilvl w:val="0"/>
          <w:numId w:val="3"/>
        </w:numPr>
      </w:pPr>
      <w:r>
        <w:rPr>
          <w:sz w:val="22"/>
          <w:szCs w:val="22"/>
        </w:rPr>
        <w:t xml:space="preserve">If representment is not provided or is insufficient, the chargeback is resolved in the cardholder's favour.</w:t>
      </w:r>
    </w:p>
    <w:p>
      <w:pPr>
        <w:pStyle w:val="ListParagraph"/>
        <w:numPr>
          <w:ilvl w:val="0"/>
          <w:numId w:val="3"/>
        </w:numPr>
      </w:pPr>
      <w:r>
        <w:rPr>
          <w:sz w:val="22"/>
          <w:szCs w:val="22"/>
        </w:rPr>
        <w:t xml:space="preserve">If representment is provided, the Bank's dispute team reviews and decides whether to accept or raise a pre-arbitration.</w:t>
      </w:r>
    </w:p>
    <w:p>
      <w:pPr>
        <w:pStyle w:val="ListParagraph"/>
        <w:numPr>
          <w:ilvl w:val="0"/>
          <w:numId w:val="3"/>
        </w:numPr>
      </w:pPr>
      <w:r>
        <w:rPr>
          <w:sz w:val="22"/>
          <w:szCs w:val="22"/>
        </w:rPr>
        <w:t xml:space="preserve">Unresolved disputes may be escalated to card network arbitration.</w:t>
      </w:r>
    </w:p>
    <w:p>
      <w:r>
        <w:t xml:space="preserve"/>
      </w:r>
    </w:p>
    <w:p>
      <w:pPr>
        <w:pStyle w:val="Heading2"/>
      </w:pPr>
      <w:r>
        <w:rPr>
          <w:b/>
          <w:bCs/>
          <w:sz w:val="24"/>
          <w:szCs w:val="24"/>
        </w:rPr>
        <w:t xml:space="preserve">6. Provisional Credit</w:t>
      </w:r>
    </w:p>
    <w:p>
      <w:r>
        <w:rPr>
          <w:sz w:val="22"/>
          <w:szCs w:val="22"/>
        </w:rPr>
        <w:t xml:space="preserve">The Bank shall extend provisional credit to the cardholder in the following circumstances:</w:t>
      </w:r>
    </w:p>
    <w:p>
      <w:pPr>
        <w:pStyle w:val="ListParagraph"/>
        <w:numPr>
          <w:ilvl w:val="0"/>
          <w:numId w:val="2"/>
        </w:numPr>
      </w:pPr>
      <w:r>
        <w:rPr>
          <w:sz w:val="22"/>
          <w:szCs w:val="22"/>
        </w:rPr>
        <w:t xml:space="preserve">For fraud disputes (card not present / card not issued transactions): provisional credit within 10 working days of dispute registration, subject to preliminary fraud assessment.</w:t>
      </w:r>
    </w:p>
    <w:p>
      <w:pPr>
        <w:pStyle w:val="ListParagraph"/>
        <w:numPr>
          <w:ilvl w:val="0"/>
          <w:numId w:val="2"/>
        </w:numPr>
      </w:pPr>
      <w:r>
        <w:rPr>
          <w:sz w:val="22"/>
          <w:szCs w:val="22"/>
        </w:rPr>
        <w:t xml:space="preserve">For ATM disputes where cash was not dispensed: credit within 5 working days if the ATM EOD report confirms a cash surplus.</w:t>
      </w:r>
    </w:p>
    <w:p>
      <w:pPr>
        <w:pStyle w:val="ListParagraph"/>
        <w:numPr>
          <w:ilvl w:val="0"/>
          <w:numId w:val="2"/>
        </w:numPr>
      </w:pPr>
      <w:r>
        <w:rPr>
          <w:sz w:val="22"/>
          <w:szCs w:val="22"/>
        </w:rPr>
        <w:t xml:space="preserve">For other disputes: provisional credit at the Bank's discretion while investigation is ongoing.</w:t>
      </w:r>
    </w:p>
    <w:p>
      <w:r>
        <w:rPr>
          <w:sz w:val="22"/>
          <w:szCs w:val="22"/>
        </w:rPr>
        <w:t xml:space="preserve">Provisional credit may be reversed if the dispute is ultimately decided against the cardholder.</w:t>
      </w:r>
    </w:p>
    <w:p>
      <w:r>
        <w:t xml:space="preserve"/>
      </w:r>
    </w:p>
    <w:p>
      <w:pPr>
        <w:pStyle w:val="Heading2"/>
      </w:pPr>
      <w:r>
        <w:rPr>
          <w:b/>
          <w:bCs/>
          <w:sz w:val="24"/>
          <w:szCs w:val="24"/>
        </w:rPr>
        <w:t xml:space="preserve">7. Resolution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Dispute Type</w:t>
            </w:r>
          </w:p>
        </w:tc>
        <w:tc>
          <w:tcPr>
            <w:tcW w:type="dxa" w:w="5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Target Resolution Time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ATM dispute (cash not dispensed)</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5 working days</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Card fraud dispute (unauthorised transaction)</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10 working days for provisional credit; final resolution within 45 days</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Merchant dispute</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30–45 days (dependent on merchant response)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UPI failed transaction</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T+1 to T+5 for auto-reversal; dispute resolution within 15 days</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Card network arbitration</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 card network rules (typically 45–60 days post pre-arbitration)</w:t>
            </w:r>
          </w:p>
        </w:tc>
      </w:tr>
    </w:tbl>
    <w:p>
      <w:r>
        <w:t xml:space="preserve"/>
      </w:r>
    </w:p>
    <w:p>
      <w:pPr>
        <w:pStyle w:val="Heading2"/>
      </w:pPr>
      <w:r>
        <w:rPr>
          <w:b/>
          <w:bCs/>
          <w:sz w:val="24"/>
          <w:szCs w:val="24"/>
        </w:rPr>
        <w:t xml:space="preserve">8. Customer Liability – Fraud Disputes</w:t>
      </w:r>
    </w:p>
    <w:p>
      <w:r>
        <w:rPr>
          <w:sz w:val="22"/>
          <w:szCs w:val="22"/>
        </w:rPr>
        <w:t xml:space="preserve">Customer liability in unauthorised card transactions is determined per RBI's limited liability circular:</w:t>
      </w:r>
    </w:p>
    <w:p>
      <w:pPr>
        <w:pStyle w:val="ListParagraph"/>
        <w:numPr>
          <w:ilvl w:val="0"/>
          <w:numId w:val="2"/>
        </w:numPr>
      </w:pPr>
      <w:r>
        <w:rPr>
          <w:sz w:val="22"/>
          <w:szCs w:val="22"/>
        </w:rPr>
        <w:t xml:space="preserve">Zero liability where the fraud was due to negligence of the Bank or payment system.</w:t>
      </w:r>
    </w:p>
    <w:p>
      <w:pPr>
        <w:pStyle w:val="ListParagraph"/>
        <w:numPr>
          <w:ilvl w:val="0"/>
          <w:numId w:val="2"/>
        </w:numPr>
      </w:pPr>
      <w:r>
        <w:rPr>
          <w:sz w:val="22"/>
          <w:szCs w:val="22"/>
        </w:rPr>
        <w:t xml:space="preserve">Zero liability where the fraud is by a third party (no negligence on customer) and reported within 3 working days.</w:t>
      </w:r>
    </w:p>
    <w:p>
      <w:pPr>
        <w:pStyle w:val="ListParagraph"/>
        <w:numPr>
          <w:ilvl w:val="0"/>
          <w:numId w:val="2"/>
        </w:numPr>
      </w:pPr>
      <w:r>
        <w:rPr>
          <w:sz w:val="22"/>
          <w:szCs w:val="22"/>
        </w:rPr>
        <w:t xml:space="preserve">Tiered liability (INR 5,000 to INR 25,000) where customer reports after 4–7 working days.</w:t>
      </w:r>
    </w:p>
    <w:p>
      <w:pPr>
        <w:pStyle w:val="ListParagraph"/>
        <w:numPr>
          <w:ilvl w:val="0"/>
          <w:numId w:val="2"/>
        </w:numPr>
      </w:pPr>
      <w:r>
        <w:rPr>
          <w:sz w:val="22"/>
          <w:szCs w:val="22"/>
        </w:rPr>
        <w:t xml:space="preserve">Customer bears full loss where the fraud is due to the customer's own negligence (sharing OTP, PIN, etc.).</w:t>
      </w:r>
    </w:p>
    <w:p>
      <w:r>
        <w:t xml:space="preserve"/>
      </w:r>
    </w:p>
    <w:p>
      <w:pPr>
        <w:pStyle w:val="Heading2"/>
      </w:pPr>
      <w:r>
        <w:rPr>
          <w:b/>
          <w:bCs/>
          <w:sz w:val="24"/>
          <w:szCs w:val="24"/>
        </w:rPr>
        <w:t xml:space="preserve">9. Chargeback Monitoring and Merchant Risk</w:t>
      </w:r>
    </w:p>
    <w:p>
      <w:r>
        <w:rPr>
          <w:sz w:val="22"/>
          <w:szCs w:val="22"/>
        </w:rPr>
        <w:t xml:space="preserve">The Bank monitors chargeback rates for merchants in its acquiring portfolio. Merchants exceeding VISA/Mastercard chargeback thresholds (typically 1% chargeback ratio) are placed on a Merchant Monitoring Program. Repeat offenders may be terminated from the acquirer relationship.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2026-05-09T07:00:36.903Z</dcterms:created>
  <dcterms:modified xsi:type="dcterms:W3CDTF">2026-05-09T07:00:36.903Z</dcterms:modified>
</cp:coreProperties>
</file>

<file path=docProps/custom.xml><?xml version="1.0" encoding="utf-8"?>
<Properties xmlns="http://schemas.openxmlformats.org/officeDocument/2006/custom-properties" xmlns:vt="http://schemas.openxmlformats.org/officeDocument/2006/docPropsVTypes"/>
</file>