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ATM Usage Policy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ATM Usage Policy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POL-2627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 April 2025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Owner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Head – ATM Network Management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Channels &amp; Digital Banking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 Risk &amp; Compliance Committee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– Restricted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Purpose</w:t>
      </w:r>
    </w:p>
    <w:p>
      <w:r>
        <w:rPr>
          <w:sz w:val="22"/>
          <w:szCs w:val="22"/>
        </w:rPr>
        <w:t xml:space="preserve">This policy governs the operation, security, transaction limits, customer service standards, and liability framework for the Bank's Automated Teller Machine (ATM) and Cash Recycler Machine (CRM) network.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ATM Availability Commitment</w:t>
      </w:r>
    </w:p>
    <w:p>
      <w:r>
        <w:rPr>
          <w:sz w:val="22"/>
          <w:szCs w:val="22"/>
        </w:rPr>
        <w:t xml:space="preserve">The Bank shall maintain a minimum ATM availability of 98% uptime on a monthly basis across its owned ATM network. Downtime targets by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Downtime 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Permissible per Month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Scheduled maintenance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hours per ATM per month (out-of-peak hours preferred)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replenishment downtime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to exceed 2 hours continuous per instance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Technical fault downtime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to exceed 4 hours continuous; escalation triggered at 2 hours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Transaction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withdrawal per transaction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10,000 (basic debit card); INR 25,000 (classic/premium debit card)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withdrawal per day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20,000 to INR 1,00,000 (as per card variant)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enquiry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 statement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per day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PIN change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per day at ATM; unlimited via internet/mobile banking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deposit (CRM)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2,00,000 per day per account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Free ATM Transactions</w:t>
      </w:r>
    </w:p>
    <w:p>
      <w:r>
        <w:rPr>
          <w:sz w:val="22"/>
          <w:szCs w:val="22"/>
        </w:rPr>
        <w:t xml:space="preserve">Per RBI guidelines effective August 2021: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 free transactions per month at the Bank's own ATMs (financial + non-financial).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 free transactions per month at other bank ATMs in metro cities.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 free transactions per month at other bank ATMs in non-metro locations.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Charges beyond free limit: as per RBI cap (INR 21 per financial transaction; INR 8.50 per non-financial transaction).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 Security Standards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ATMs must be equipped with anti-skimming devices on the card reader.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CCTV coverage of ATM lobby is mandatory; recording retained for 90 days.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Anti-PIN-pad cover must be installed and functional.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Jitter card reader mechanism mandatory for all new ATM deployments.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Network encryption (TLS 1.2 or above) for all ATM-to-host communication.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Physical security: ATMs must be in a well-lit, monitored location; lock-and-key enclosures for offsite ATMs.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 Dispute Resolution – ATM Transactions</w:t>
      </w:r>
    </w:p>
    <w:p>
      <w:r>
        <w:rPr>
          <w:sz w:val="22"/>
          <w:szCs w:val="22"/>
        </w:rPr>
        <w:t xml:space="preserve">For ATM transaction disputes (cash not dispensed; excess/short cash):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Customer raises dispute through any channel within 30 days of transaction.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Bank retrieves ATM cash position report (CPR) for the relevant date.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cash surplus matches disputed amount, credit is processed within 5 working days.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CPR does not confirm surplus, transaction log and CCTV footage are reviewed.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Dispute resolved and communicated within 7 working days.</w:t>
      </w:r>
    </w:p>
    <w:p>
      <w:r>
        <w:rPr>
          <w:sz w:val="22"/>
          <w:szCs w:val="22"/>
        </w:rPr>
        <w:t xml:space="preserve">The Bank shall not make the customer liable for cash not dispensed unless CCTV footage conclusively shows the customer received cash.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 Card Capture by ATM</w:t>
      </w:r>
    </w:p>
    <w:p>
      <w:r>
        <w:rPr>
          <w:sz w:val="22"/>
          <w:szCs w:val="22"/>
        </w:rPr>
        <w:t xml:space="preserve">If the ATM retains a customer's card (card hot-listed, expired, incorrect PIN attempts exhausted):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Bank must destroy captured cards within 48 hours.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replacement card must be issued within 5 working days if the card was a legitimate Bank-issued card.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customer must be informed of the reason for capture via SMS.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8. Cash Management</w:t>
      </w:r>
    </w:p>
    <w:p>
      <w:r>
        <w:rPr>
          <w:sz w:val="22"/>
          <w:szCs w:val="22"/>
        </w:rPr>
        <w:t xml:space="preserve">ATM cash replenishment is conducted by the Bank's empanelled Cash-in-Transit (CIT) agency. ATM cash reconciliation must be completed within T+1 business day. Any cash discrepancy must be investigated and resolved within 7 working days. Significant discrepancies (above INR 10,000 per event) must be reported to the Head of ATM Network Management.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9. Accessibility</w:t>
      </w:r>
    </w:p>
    <w:p>
      <w:r>
        <w:rPr>
          <w:sz w:val="22"/>
          <w:szCs w:val="22"/>
        </w:rPr>
        <w:t xml:space="preserve">ATMs must comply with RBI guidelines on accessibility for persons with disabilities: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ATMs in branches must be at a height accessible to wheelchair users.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Audio guidance / screen reader features must be enabled for visually impaired users.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Braille keypads are required on new ATM deployments from 2024 onwards.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2026-05-09T07:00:36.942Z</dcterms:created>
  <dcterms:modified xsi:type="dcterms:W3CDTF">2026-05-09T07:00:36.942Z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