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Transaction Monitoring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Transaction Monitoring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POL-1281</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2.4</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Chief Compliance Officer</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Compliance &amp; AML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establishes the Bank's framework for the ongoing monitoring of customer transactions to detect, investigate, and report suspicious activity indicative of money laundering, terrorist financing, fraud, or other financial crimes.</w:t>
      </w:r>
    </w:p>
    <w:p>
      <w:r>
        <w:t xml:space="preserve"/>
      </w:r>
    </w:p>
    <w:p>
      <w:pPr>
        <w:pStyle w:val="Heading2"/>
      </w:pPr>
      <w:r>
        <w:rPr>
          <w:b/>
          <w:bCs/>
          <w:sz w:val="24"/>
          <w:szCs w:val="24"/>
        </w:rPr>
        <w:t xml:space="preserve">2. Regulatory Basis</w:t>
      </w:r>
    </w:p>
    <w:p>
      <w:pPr>
        <w:pStyle w:val="ListParagraph"/>
        <w:numPr>
          <w:ilvl w:val="0"/>
          <w:numId w:val="2"/>
        </w:numPr>
      </w:pPr>
      <w:r>
        <w:rPr>
          <w:sz w:val="22"/>
          <w:szCs w:val="22"/>
        </w:rPr>
        <w:t xml:space="preserve">Prevention of Money Laundering Act, 2002 and PMLA Rules, 2005</w:t>
      </w:r>
    </w:p>
    <w:p>
      <w:pPr>
        <w:pStyle w:val="ListParagraph"/>
        <w:numPr>
          <w:ilvl w:val="0"/>
          <w:numId w:val="2"/>
        </w:numPr>
      </w:pPr>
      <w:r>
        <w:rPr>
          <w:sz w:val="22"/>
          <w:szCs w:val="22"/>
        </w:rPr>
        <w:t xml:space="preserve">FIU-IND Guidelines on CTR, STR, and CCR reporting</w:t>
      </w:r>
    </w:p>
    <w:p>
      <w:pPr>
        <w:pStyle w:val="ListParagraph"/>
        <w:numPr>
          <w:ilvl w:val="0"/>
          <w:numId w:val="2"/>
        </w:numPr>
      </w:pPr>
      <w:r>
        <w:rPr>
          <w:sz w:val="22"/>
          <w:szCs w:val="22"/>
        </w:rPr>
        <w:t xml:space="preserve">RBI Master Direction – KYC Direction, 2016 (ongoing monitoring requirements)</w:t>
      </w:r>
    </w:p>
    <w:p>
      <w:pPr>
        <w:pStyle w:val="ListParagraph"/>
        <w:numPr>
          <w:ilvl w:val="0"/>
          <w:numId w:val="2"/>
        </w:numPr>
      </w:pPr>
      <w:r>
        <w:rPr>
          <w:sz w:val="22"/>
          <w:szCs w:val="22"/>
        </w:rPr>
        <w:t xml:space="preserve">FATF Recommendation 10 (Customer Due Diligence) and Recommendation 20 (Reporting of Suspicious Transactions)</w:t>
      </w:r>
    </w:p>
    <w:p>
      <w:r>
        <w:t xml:space="preserve"/>
      </w:r>
    </w:p>
    <w:p>
      <w:pPr>
        <w:pStyle w:val="Heading2"/>
      </w:pPr>
      <w:r>
        <w:rPr>
          <w:b/>
          <w:bCs/>
          <w:sz w:val="24"/>
          <w:szCs w:val="24"/>
        </w:rPr>
        <w:t xml:space="preserve">3. Transaction Monitoring System (TMS)</w:t>
      </w:r>
    </w:p>
    <w:p>
      <w:r>
        <w:rPr>
          <w:sz w:val="22"/>
          <w:szCs w:val="22"/>
        </w:rPr>
        <w:t xml:space="preserve">The Bank operates an automated Transaction Monitoring System (TMS) integrated with the core banking system. The TMS:</w:t>
      </w:r>
    </w:p>
    <w:p>
      <w:pPr>
        <w:pStyle w:val="ListParagraph"/>
        <w:numPr>
          <w:ilvl w:val="0"/>
          <w:numId w:val="2"/>
        </w:numPr>
      </w:pPr>
      <w:r>
        <w:rPr>
          <w:sz w:val="22"/>
          <w:szCs w:val="22"/>
        </w:rPr>
        <w:t xml:space="preserve">Processes transaction data in real time and batch modes.</w:t>
      </w:r>
    </w:p>
    <w:p>
      <w:pPr>
        <w:pStyle w:val="ListParagraph"/>
        <w:numPr>
          <w:ilvl w:val="0"/>
          <w:numId w:val="2"/>
        </w:numPr>
      </w:pPr>
      <w:r>
        <w:rPr>
          <w:sz w:val="22"/>
          <w:szCs w:val="22"/>
        </w:rPr>
        <w:t xml:space="preserve">Applies rules-based scenarios and behavioural analytics to identify unusual patterns.</w:t>
      </w:r>
    </w:p>
    <w:p>
      <w:pPr>
        <w:pStyle w:val="ListParagraph"/>
        <w:numPr>
          <w:ilvl w:val="0"/>
          <w:numId w:val="2"/>
        </w:numPr>
      </w:pPr>
      <w:r>
        <w:rPr>
          <w:sz w:val="22"/>
          <w:szCs w:val="22"/>
        </w:rPr>
        <w:t xml:space="preserve">Generates alerts for investigation by the AML/Compliance team.</w:t>
      </w:r>
    </w:p>
    <w:p>
      <w:pPr>
        <w:pStyle w:val="ListParagraph"/>
        <w:numPr>
          <w:ilvl w:val="0"/>
          <w:numId w:val="2"/>
        </w:numPr>
      </w:pPr>
      <w:r>
        <w:rPr>
          <w:sz w:val="22"/>
          <w:szCs w:val="22"/>
        </w:rPr>
        <w:t xml:space="preserve">Maintains an audit trail of all alerts, dispositions, and escalations.</w:t>
      </w:r>
    </w:p>
    <w:p>
      <w:r>
        <w:t xml:space="preserve"/>
      </w:r>
    </w:p>
    <w:p>
      <w:pPr>
        <w:pStyle w:val="Heading2"/>
      </w:pPr>
      <w:r>
        <w:rPr>
          <w:b/>
          <w:bCs/>
          <w:sz w:val="24"/>
          <w:szCs w:val="24"/>
        </w:rPr>
        <w:t xml:space="preserve">4. Monitoring Scenarios</w:t>
      </w:r>
    </w:p>
    <w:p>
      <w:r>
        <w:rPr>
          <w:sz w:val="22"/>
          <w:szCs w:val="22"/>
        </w:rPr>
        <w:t xml:space="preserve">The TMS monitors for the following categories of suspicious behavior (illustrative, not exhaustive):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Scenario Category</w:t>
            </w:r>
          </w:p>
        </w:tc>
        <w:tc>
          <w:tcPr>
            <w:tcW w:type="dxa" w:w="65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Examples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Cash Transactions</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Structured cash transactions just below INR 10 lakh; round-sum cash deposits; frequent cash withdrawals inconsistent with account type</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Rapid Fund Movements</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Funds credited and withdrawn within 24 hours (pass-through behavior); multiple inward transfers consolidated and immediately outward</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High-Risk Geographies</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Transactions involving counterparties in FATF-listed high-risk jurisdictions; unusual cross-border transfer patterns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Dormant Account Activity</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Sudden resumption of activity in a dormant account with large transactions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PEP / High-Risk Customer</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Unusual activity relative to established profile for PEPs and EDD customers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Trade-Based Money Laundering</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Over/under-invoicing indicators; payments to unrelated third parties in import/export transactions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Layering</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Complex multi-account or multi-entity transaction chains with no apparent business rationale</w:t>
            </w:r>
          </w:p>
        </w:tc>
      </w:tr>
    </w:tbl>
    <w:p>
      <w:r>
        <w:t xml:space="preserve"/>
      </w:r>
    </w:p>
    <w:p>
      <w:pPr>
        <w:pStyle w:val="Heading2"/>
      </w:pPr>
      <w:r>
        <w:rPr>
          <w:b/>
          <w:bCs/>
          <w:sz w:val="24"/>
          <w:szCs w:val="24"/>
        </w:rPr>
        <w:t xml:space="preserve">5. Alert Disposition Process</w:t>
      </w:r>
    </w:p>
    <w:p>
      <w:pPr>
        <w:pStyle w:val="ListParagraph"/>
        <w:numPr>
          <w:ilvl w:val="0"/>
          <w:numId w:val="3"/>
        </w:numPr>
      </w:pPr>
      <w:r>
        <w:rPr>
          <w:sz w:val="22"/>
          <w:szCs w:val="22"/>
        </w:rPr>
        <w:t xml:space="preserve">TMS generates alert; assigned to AML Analyst (Level 1).</w:t>
      </w:r>
    </w:p>
    <w:p>
      <w:pPr>
        <w:pStyle w:val="ListParagraph"/>
        <w:numPr>
          <w:ilvl w:val="0"/>
          <w:numId w:val="3"/>
        </w:numPr>
      </w:pPr>
      <w:r>
        <w:rPr>
          <w:sz w:val="22"/>
          <w:szCs w:val="22"/>
        </w:rPr>
        <w:t xml:space="preserve">Analyst reviews transaction data, customer profile, and account history within 5 working days.</w:t>
      </w:r>
    </w:p>
    <w:p>
      <w:pPr>
        <w:pStyle w:val="ListParagraph"/>
        <w:numPr>
          <w:ilvl w:val="0"/>
          <w:numId w:val="3"/>
        </w:numPr>
      </w:pPr>
      <w:r>
        <w:rPr>
          <w:sz w:val="22"/>
          <w:szCs w:val="22"/>
        </w:rPr>
        <w:t xml:space="preserve">Analyst dispositions: False Positive (closed with rationale) or Escalate.</w:t>
      </w:r>
    </w:p>
    <w:p>
      <w:pPr>
        <w:pStyle w:val="ListParagraph"/>
        <w:numPr>
          <w:ilvl w:val="0"/>
          <w:numId w:val="3"/>
        </w:numPr>
      </w:pPr>
      <w:r>
        <w:rPr>
          <w:sz w:val="22"/>
          <w:szCs w:val="22"/>
        </w:rPr>
        <w:t xml:space="preserve">Escalated alerts reviewed by AML Officer (Level 2) within 5 further working days.</w:t>
      </w:r>
    </w:p>
    <w:p>
      <w:pPr>
        <w:pStyle w:val="ListParagraph"/>
        <w:numPr>
          <w:ilvl w:val="0"/>
          <w:numId w:val="3"/>
        </w:numPr>
      </w:pPr>
      <w:r>
        <w:rPr>
          <w:sz w:val="22"/>
          <w:szCs w:val="22"/>
        </w:rPr>
        <w:t xml:space="preserve">If suspicious activity is confirmed, case is escalated to the Principal Officer (CCO or designated nominee).</w:t>
      </w:r>
    </w:p>
    <w:p>
      <w:pPr>
        <w:pStyle w:val="ListParagraph"/>
        <w:numPr>
          <w:ilvl w:val="0"/>
          <w:numId w:val="3"/>
        </w:numPr>
      </w:pPr>
      <w:r>
        <w:rPr>
          <w:sz w:val="22"/>
          <w:szCs w:val="22"/>
        </w:rPr>
        <w:t xml:space="preserve">Principal Officer decides within 7 days whether to file an STR with FIU-IND.</w:t>
      </w:r>
    </w:p>
    <w:p>
      <w:r>
        <w:t xml:space="preserve"/>
      </w:r>
    </w:p>
    <w:p>
      <w:pPr>
        <w:pStyle w:val="Heading2"/>
      </w:pPr>
      <w:r>
        <w:rPr>
          <w:b/>
          <w:bCs/>
          <w:sz w:val="24"/>
          <w:szCs w:val="24"/>
        </w:rPr>
        <w:t xml:space="preserve">6. Mandatory Reports to FIU-IND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Report Type</w:t>
            </w:r>
          </w:p>
        </w:tc>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Trigger</w:t>
            </w:r>
          </w:p>
        </w:tc>
        <w:tc>
          <w:tcPr>
            <w:tcW w:type="dxa" w:w="3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Deadline</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Cash Transaction Report (CTR)</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All cash transactions above INR 10 lakh in a month (single or aggregate)</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15th of the following month</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Suspicious Transaction Report (STR)</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Any transaction (regardless of amount) suspected of being related to ML/TF</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Within 7 working days of suspicion confirmation</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Cross-Border Wire Transfer Report (CBWTR)</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All cross-border wire transfers above INR 5 lakh</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15th of the following month</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Non-Profit Organisation Report (NTR)</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Transactions of NPOs above INR 10 lakh</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15th of the following month</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Counterfeit Currency Report (CCR)</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Detection of counterfeit currency notes</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Within 7 days of detection</w:t>
            </w:r>
          </w:p>
        </w:tc>
      </w:tr>
    </w:tbl>
    <w:p>
      <w:r>
        <w:t xml:space="preserve"/>
      </w:r>
    </w:p>
    <w:p>
      <w:pPr>
        <w:pStyle w:val="Heading2"/>
      </w:pPr>
      <w:r>
        <w:rPr>
          <w:b/>
          <w:bCs/>
          <w:sz w:val="24"/>
          <w:szCs w:val="24"/>
        </w:rPr>
        <w:t xml:space="preserve">7. Tipping Off Prohibition</w:t>
      </w:r>
    </w:p>
    <w:p>
      <w:r>
        <w:rPr>
          <w:sz w:val="22"/>
          <w:szCs w:val="22"/>
        </w:rPr>
        <w:t xml:space="preserve">The Bank and all its employees are strictly prohibited from disclosing to the customer or any third party that an STR has been filed, is being considered, or that the customer is under investigation. Violation of the tipping-off prohibition is a criminal offense under PMLA.</w:t>
      </w:r>
    </w:p>
    <w:p>
      <w:r>
        <w:t xml:space="preserve"/>
      </w:r>
    </w:p>
    <w:p>
      <w:pPr>
        <w:pStyle w:val="Heading2"/>
      </w:pPr>
      <w:r>
        <w:rPr>
          <w:b/>
          <w:bCs/>
          <w:sz w:val="24"/>
          <w:szCs w:val="24"/>
        </w:rPr>
        <w:t xml:space="preserve">8. Record Keeping</w:t>
      </w:r>
    </w:p>
    <w:p>
      <w:r>
        <w:rPr>
          <w:sz w:val="22"/>
          <w:szCs w:val="22"/>
        </w:rPr>
        <w:t xml:space="preserve">All TMS alerts, investigation notes, dispositions, and STR records must be retained for a minimum of 10 years. Records must be available for inspection by FIU-IND, RBI, or law enforcement on demand.</w:t>
      </w:r>
    </w:p>
    <w:p>
      <w:r>
        <w:t xml:space="preserve"/>
      </w:r>
    </w:p>
    <w:p>
      <w:pPr>
        <w:pStyle w:val="Heading2"/>
      </w:pPr>
      <w:r>
        <w:rPr>
          <w:b/>
          <w:bCs/>
          <w:sz w:val="24"/>
          <w:szCs w:val="24"/>
        </w:rPr>
        <w:t xml:space="preserve">9. Threshold Review</w:t>
      </w:r>
    </w:p>
    <w:p>
      <w:r>
        <w:rPr>
          <w:sz w:val="22"/>
          <w:szCs w:val="22"/>
        </w:rPr>
        <w:t xml:space="preserve">AML monitoring scenarios and thresholds must be reviewed at least annually by the AML Compliance team in consultation with Data Analytics. Reviews must consider:</w:t>
      </w:r>
    </w:p>
    <w:p>
      <w:pPr>
        <w:pStyle w:val="ListParagraph"/>
        <w:numPr>
          <w:ilvl w:val="0"/>
          <w:numId w:val="2"/>
        </w:numPr>
      </w:pPr>
      <w:r>
        <w:rPr>
          <w:sz w:val="22"/>
          <w:szCs w:val="22"/>
        </w:rPr>
        <w:t xml:space="preserve">False positive rate and alert disposition analysis.</w:t>
      </w:r>
    </w:p>
    <w:p>
      <w:pPr>
        <w:pStyle w:val="ListParagraph"/>
        <w:numPr>
          <w:ilvl w:val="0"/>
          <w:numId w:val="2"/>
        </w:numPr>
      </w:pPr>
      <w:r>
        <w:rPr>
          <w:sz w:val="22"/>
          <w:szCs w:val="22"/>
        </w:rPr>
        <w:t xml:space="preserve">Emerging ML/TF typologies published by FATF and FIU-IND.</w:t>
      </w:r>
    </w:p>
    <w:p>
      <w:pPr>
        <w:pStyle w:val="ListParagraph"/>
        <w:numPr>
          <w:ilvl w:val="0"/>
          <w:numId w:val="2"/>
        </w:numPr>
      </w:pPr>
      <w:r>
        <w:rPr>
          <w:sz w:val="22"/>
          <w:szCs w:val="22"/>
        </w:rPr>
        <w:t xml:space="preserve">RBI and FIU-IND examination findings.</w:t>
      </w:r>
    </w:p>
    <w:p>
      <w:pPr>
        <w:pStyle w:val="ListParagraph"/>
        <w:numPr>
          <w:ilvl w:val="0"/>
          <w:numId w:val="2"/>
        </w:numPr>
      </w:pPr>
      <w:r>
        <w:rPr>
          <w:sz w:val="22"/>
          <w:szCs w:val="22"/>
        </w:rPr>
        <w:t xml:space="preserve">Changes in the Bank's product, customer, and geographic risk profile.</w:t>
      </w:r>
    </w:p>
    <w:p>
      <w:r>
        <w:t xml:space="preserve"/>
      </w:r>
    </w:p>
    <w:p>
      <w:pPr>
        <w:pStyle w:val="Heading2"/>
      </w:pPr>
      <w:r>
        <w:rPr>
          <w:b/>
          <w:bCs/>
          <w:sz w:val="24"/>
          <w:szCs w:val="24"/>
        </w:rPr>
        <w:t xml:space="preserve">10. Staff Training</w:t>
      </w:r>
    </w:p>
    <w:p>
      <w:r>
        <w:rPr>
          <w:sz w:val="22"/>
          <w:szCs w:val="22"/>
        </w:rPr>
        <w:t xml:space="preserve">All customer-facing staff and compliance personnel must complete mandatory AML transaction monitoring training annually. New joiners must complete training within 30 days. Training records are maintained by HR and Compliance.</w:t>
      </w:r>
    </w:p>
    <w:p>
      <w:r>
        <w:t xml:space="preserve"/>
      </w:r>
    </w:p>
    <w:p>
      <w:pPr>
        <w:pStyle w:val="Heading2"/>
      </w:pPr>
      <w:r>
        <w:rPr>
          <w:b/>
          <w:bCs/>
          <w:sz w:val="24"/>
          <w:szCs w:val="24"/>
        </w:rPr>
        <w:t xml:space="preserve">11. Governance</w:t>
      </w:r>
    </w:p>
    <w:p>
      <w:r>
        <w:rPr>
          <w:sz w:val="22"/>
          <w:szCs w:val="22"/>
        </w:rPr>
        <w:t xml:space="preserve">The CCO (who is the designated Principal Officer under PMLA) is responsible for the operation of the AML monitoring program. Quarterly reports on alert volumes, STR filings, and monitoring system performance are presented to the Board Risk &amp; Compliance Committee.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2026-05-09T07:00:37.054Z</dcterms:created>
  <dcterms:modified xsi:type="dcterms:W3CDTF">2026-05-09T07:00:37.054Z</dcterms:modified>
</cp:coreProperties>
</file>

<file path=docProps/custom.xml><?xml version="1.0" encoding="utf-8"?>
<Properties xmlns="http://schemas.openxmlformats.org/officeDocument/2006/custom-properties" xmlns:vt="http://schemas.openxmlformats.org/officeDocument/2006/docPropsVTypes"/>
</file>