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4735CF"/>
          <w:sz w:val="40"/>
          <w:szCs w:val="40"/>
        </w:rPr>
        <w:t xml:space="preserve">Work.Life Data &amp; AI Infrastructure</w:t>
      </w:r>
    </w:p>
    <w:p>
      <w:pPr>
        <w:spacing w:after="60"/>
      </w:pPr>
      <w:r>
        <w:rPr>
          <w:rFonts w:ascii="Arial" w:cs="Arial" w:eastAsia="Arial" w:hAnsi="Arial"/>
          <w:b/>
          <w:bCs/>
          <w:color w:val="1D1A55"/>
          <w:sz w:val="26"/>
          <w:szCs w:val="26"/>
        </w:rPr>
        <w:t xml:space="preserve">Supplier Scoping Brief</w:t>
      </w:r>
    </w:p>
    <w:p>
      <w:pPr>
        <w:pBdr>
          <w:bottom w:val="single" w:color="4735CF" w:sz="8"/>
        </w:pBdr>
        <w:spacing w:after="320"/>
      </w:pPr>
      <w:r>
        <w:rPr>
          <w:rFonts w:ascii="Arial" w:cs="Arial" w:eastAsia="Arial" w:hAnsi="Arial"/>
          <w:color w:val="555555"/>
          <w:sz w:val="19"/>
          <w:szCs w:val="19"/>
        </w:rPr>
        <w:t xml:space="preserve">Prepared by Work.Life Operations &amp; IT Systems  |  July 2026  |  Commercial in confidence</w:t>
      </w:r>
    </w:p>
    <w:p>
      <w:pPr>
        <w:pStyle w:val="Heading1"/>
        <w:spacing w:after="150" w:before="360"/>
      </w:pPr>
      <w:r>
        <w:rPr>
          <w:rFonts w:ascii="Arial" w:cs="Arial" w:eastAsia="Arial" w:hAnsi="Arial"/>
          <w:b/>
          <w:bCs/>
          <w:color w:val="1D1A55"/>
          <w:sz w:val="30"/>
          <w:szCs w:val="30"/>
        </w:rPr>
        <w:t xml:space="preserve">1. Purpose of this document</w:t>
      </w:r>
    </w:p>
    <w:p>
      <w:pPr>
        <w:spacing w:after="140" w:line="300"/>
      </w:pPr>
      <w:r>
        <w:rPr>
          <w:rFonts w:ascii="Arial" w:cs="Arial" w:eastAsia="Arial" w:hAnsi="Arial"/>
          <w:sz w:val="21"/>
          <w:szCs w:val="21"/>
        </w:rPr>
        <w:t xml:space="preserve">Work.Life is scoping the build of a secure, internal data and AI capability. This brief sets out where our data sits today, what we want to be able to do, and the principles the solution must respect. We are sharing it with a small number of suppliers to understand feasibility, approach, timelines and cost before we commit to anything.</w:t>
      </w:r>
    </w:p>
    <w:p>
      <w:pPr>
        <w:spacing w:after="140" w:line="300"/>
      </w:pPr>
      <w:r>
        <w:rPr>
          <w:rFonts w:ascii="Arial" w:cs="Arial" w:eastAsia="Arial" w:hAnsi="Arial"/>
          <w:b/>
          <w:bCs/>
          <w:sz w:val="21"/>
          <w:szCs w:val="21"/>
        </w:rPr>
        <w:t xml:space="preserve">In short, we would like you to tell us: </w:t>
      </w:r>
      <w:r>
        <w:rPr>
          <w:rFonts w:ascii="Arial" w:cs="Arial" w:eastAsia="Arial" w:hAnsi="Arial"/>
          <w:sz w:val="21"/>
          <w:szCs w:val="21"/>
        </w:rPr>
        <w:t xml:space="preserve">can you build what we describe, how would you approach it, how long would it take, what would it cost to build and to run, and how would you keep it secure and reliable. Section 7 lists the specific questions we would like answered.</w:t>
      </w:r>
    </w:p>
    <w:p>
      <w:pPr>
        <w:spacing w:after="140" w:line="300"/>
      </w:pPr>
      <w:r>
        <w:rPr>
          <w:rFonts w:ascii="Arial" w:cs="Arial" w:eastAsia="Arial" w:hAnsi="Arial"/>
          <w:sz w:val="21"/>
          <w:szCs w:val="21"/>
        </w:rPr>
        <w:t xml:space="preserve">This is a request for your thinking, not a commitment to purchase. We are speaking to more than one supplier and will compare responses on a like for like basis.</w:t>
      </w:r>
    </w:p>
    <w:p>
      <w:pPr>
        <w:pStyle w:val="Heading1"/>
        <w:spacing w:after="150" w:before="360"/>
      </w:pPr>
      <w:r>
        <w:rPr>
          <w:rFonts w:ascii="Arial" w:cs="Arial" w:eastAsia="Arial" w:hAnsi="Arial"/>
          <w:b/>
          <w:bCs/>
          <w:color w:val="1D1A55"/>
          <w:sz w:val="30"/>
          <w:szCs w:val="30"/>
        </w:rPr>
        <w:t xml:space="preserve">2. About Work.Life</w:t>
      </w:r>
    </w:p>
    <w:p>
      <w:pPr>
        <w:spacing w:after="140" w:line="300"/>
      </w:pPr>
      <w:r>
        <w:rPr>
          <w:rFonts w:ascii="Arial" w:cs="Arial" w:eastAsia="Arial" w:hAnsi="Arial"/>
          <w:sz w:val="21"/>
          <w:szCs w:val="21"/>
        </w:rPr>
        <w:t xml:space="preserve">Work.Life is a B Corp certified flexible workspace provider with 14 coworking offices across the UK, around 8,000 members and a team of roughly 70. We run coworking, private offices and event space. Our leadership team makes commercial and operational decisions across sites, membership, sales, finance and operations.</w:t>
      </w:r>
    </w:p>
    <w:p>
      <w:pPr>
        <w:spacing w:after="140" w:line="300"/>
      </w:pPr>
      <w:r>
        <w:rPr>
          <w:rFonts w:ascii="Arial" w:cs="Arial" w:eastAsia="Arial" w:hAnsi="Arial"/>
          <w:sz w:val="21"/>
          <w:szCs w:val="21"/>
        </w:rPr>
        <w:t xml:space="preserve">We are not a data business, and we do not want to become one. We want a capability we can trust and run without a large in-house data team behind it.</w:t>
      </w:r>
    </w:p>
    <w:p>
      <w:pPr>
        <w:pStyle w:val="Heading1"/>
        <w:spacing w:after="150" w:before="360"/>
      </w:pPr>
      <w:r>
        <w:rPr>
          <w:rFonts w:ascii="Arial" w:cs="Arial" w:eastAsia="Arial" w:hAnsi="Arial"/>
          <w:b/>
          <w:bCs/>
          <w:color w:val="1D1A55"/>
          <w:sz w:val="30"/>
          <w:szCs w:val="30"/>
        </w:rPr>
        <w:t xml:space="preserve">3. Where we are today</w:t>
      </w:r>
    </w:p>
    <w:p>
      <w:pPr>
        <w:spacing w:after="140" w:line="300"/>
      </w:pPr>
      <w:r>
        <w:rPr>
          <w:rFonts w:ascii="Arial" w:cs="Arial" w:eastAsia="Arial" w:hAnsi="Arial"/>
          <w:sz w:val="21"/>
          <w:szCs w:val="21"/>
        </w:rPr>
        <w:t xml:space="preserve">We already have a working, externally maintained data pipeline. Data from our source systems is centralised into a BigQuery warehouse, modelled, and surfaced through reporting dashboards. The pipeline is currently kept running by an external data partner. Our current stack is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00"/>
      </w:tblGrid>
      <w:tr>
        <w:trPr>
          <w:tblHeader/>
        </w:trPr>
        <w:tc>
          <w:tcPr>
            <w:tcW w:type="dxa" w:w="2100"/>
            <w:shd w:fill="1D1A55" w:val="clear"/>
            <w:tcMar>
              <w:top w:type="dxa" w:w="80"/>
              <w:left w:type="dxa" w:w="110"/>
              <w:bottom w:type="dxa" w:w="80"/>
              <w:right w:type="dxa" w:w="110"/>
            </w:tcMar>
          </w:tcPr>
          <w:p>
            <w:pPr>
              <w:spacing w:after="0" w:line="260"/>
            </w:pPr>
            <w:r>
              <w:rPr>
                <w:rFonts w:ascii="Arial" w:cs="Arial" w:eastAsia="Arial" w:hAnsi="Arial"/>
                <w:b/>
                <w:bCs/>
                <w:color w:val="FFFFFF"/>
                <w:sz w:val="18"/>
                <w:szCs w:val="18"/>
              </w:rPr>
              <w:t xml:space="preserve">Layer</w:t>
            </w:r>
          </w:p>
        </w:tc>
        <w:tc>
          <w:tcPr>
            <w:tcW w:type="dxa" w:w="2500"/>
            <w:shd w:fill="1D1A55" w:val="clear"/>
            <w:tcMar>
              <w:top w:type="dxa" w:w="80"/>
              <w:left w:type="dxa" w:w="110"/>
              <w:bottom w:type="dxa" w:w="80"/>
              <w:right w:type="dxa" w:w="110"/>
            </w:tcMar>
          </w:tcPr>
          <w:p>
            <w:pPr>
              <w:spacing w:after="0" w:line="260"/>
            </w:pPr>
            <w:r>
              <w:rPr>
                <w:rFonts w:ascii="Arial" w:cs="Arial" w:eastAsia="Arial" w:hAnsi="Arial"/>
                <w:b/>
                <w:bCs/>
                <w:color w:val="FFFFFF"/>
                <w:sz w:val="18"/>
                <w:szCs w:val="18"/>
              </w:rPr>
              <w:t xml:space="preserve">Tools in use</w:t>
            </w:r>
          </w:p>
        </w:tc>
        <w:tc>
          <w:tcPr>
            <w:tcW w:type="dxa" w:w="4400"/>
            <w:shd w:fill="1D1A55" w:val="clear"/>
            <w:tcMar>
              <w:top w:type="dxa" w:w="80"/>
              <w:left w:type="dxa" w:w="110"/>
              <w:bottom w:type="dxa" w:w="80"/>
              <w:right w:type="dxa" w:w="110"/>
            </w:tcMar>
          </w:tcPr>
          <w:p>
            <w:pPr>
              <w:spacing w:after="0" w:line="260"/>
            </w:pPr>
            <w:r>
              <w:rPr>
                <w:rFonts w:ascii="Arial" w:cs="Arial" w:eastAsia="Arial" w:hAnsi="Arial"/>
                <w:b/>
                <w:bCs/>
                <w:color w:val="FFFFFF"/>
                <w:sz w:val="18"/>
                <w:szCs w:val="18"/>
              </w:rPr>
              <w:t xml:space="preserve">Notes</w:t>
            </w:r>
          </w:p>
        </w:tc>
      </w:tr>
      <w:tr>
        <w:tc>
          <w:tcPr>
            <w:tcW w:type="dxa" w:w="21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Source systems</w:t>
            </w:r>
          </w:p>
        </w:tc>
        <w:tc>
          <w:tcPr>
            <w:tcW w:type="dxa" w:w="2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Nexudus, NetSuite, ACT, Excel</w:t>
            </w:r>
          </w:p>
        </w:tc>
        <w:tc>
          <w:tcPr>
            <w:tcW w:type="dxa" w:w="44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Nexudus is the largest source. HubSpot is being integrated and is expected to become the source of truth for member data over time.</w:t>
            </w:r>
          </w:p>
        </w:tc>
      </w:tr>
      <w:tr>
        <w:tc>
          <w:tcPr>
            <w:tcW w:type="dxa" w:w="21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Extract &amp; load</w:t>
            </w:r>
          </w:p>
        </w:tc>
        <w:tc>
          <w:tcPr>
            <w:tcW w:type="dxa" w:w="25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Fivetran, Python</w:t>
            </w:r>
          </w:p>
        </w:tc>
        <w:tc>
          <w:tcPr>
            <w:tcW w:type="dxa" w:w="44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Feeds source data into the warehouse.</w:t>
            </w:r>
          </w:p>
        </w:tc>
      </w:tr>
      <w:tr>
        <w:tc>
          <w:tcPr>
            <w:tcW w:type="dxa" w:w="21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Data warehouse</w:t>
            </w:r>
          </w:p>
        </w:tc>
        <w:tc>
          <w:tcPr>
            <w:tcW w:type="dxa" w:w="2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Google BigQuery</w:t>
            </w:r>
          </w:p>
        </w:tc>
        <w:tc>
          <w:tcPr>
            <w:tcW w:type="dxa" w:w="44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Our central store. This is the foundation any AI capability would sit on.</w:t>
            </w:r>
          </w:p>
        </w:tc>
      </w:tr>
      <w:tr>
        <w:tc>
          <w:tcPr>
            <w:tcW w:type="dxa" w:w="21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Modelling</w:t>
            </w:r>
          </w:p>
        </w:tc>
        <w:tc>
          <w:tcPr>
            <w:tcW w:type="dxa" w:w="25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dbt</w:t>
            </w:r>
          </w:p>
        </w:tc>
        <w:tc>
          <w:tcPr>
            <w:tcW w:type="dxa" w:w="44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Raw, intermediate and modelled layers.</w:t>
            </w:r>
          </w:p>
        </w:tc>
      </w:tr>
      <w:tr>
        <w:tc>
          <w:tcPr>
            <w:tcW w:type="dxa" w:w="21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Reporting</w:t>
            </w:r>
          </w:p>
        </w:tc>
        <w:tc>
          <w:tcPr>
            <w:tcW w:type="dxa" w:w="2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Tableau</w:t>
            </w:r>
          </w:p>
        </w:tc>
        <w:tc>
          <w:tcPr>
            <w:tcW w:type="dxa" w:w="44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Current descriptive reporting layer. A separate review of our BI and reporting tooling is running in parallel, so please do not assume Tableau is fixed.</w:t>
            </w:r>
          </w:p>
        </w:tc>
      </w:tr>
    </w:tbl>
    <w:p>
      <w:pPr>
        <w:spacing w:after="140" w:line="300"/>
      </w:pPr>
      <w:r>
        <w:rPr>
          <w:rFonts w:ascii="Arial" w:cs="Arial" w:eastAsia="Arial" w:hAnsi="Arial"/>
          <w:sz w:val="21"/>
          <w:szCs w:val="21"/>
        </w:rPr>
        <w:t xml:space="preserve"/>
      </w:r>
    </w:p>
    <w:p>
      <w:pPr>
        <w:spacing w:after="140" w:line="300"/>
      </w:pPr>
      <w:r>
        <w:rPr>
          <w:rFonts w:ascii="Arial" w:cs="Arial" w:eastAsia="Arial" w:hAnsi="Arial"/>
          <w:sz w:val="21"/>
          <w:szCs w:val="21"/>
        </w:rPr>
        <w:t xml:space="preserve">In analytics maturity terms, we are well served for descriptive reporting but have clear gaps beyond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D1A55" w:val="clear"/>
            <w:tcMar>
              <w:top w:type="dxa" w:w="80"/>
              <w:left w:type="dxa" w:w="110"/>
              <w:bottom w:type="dxa" w:w="80"/>
              <w:right w:type="dxa" w:w="110"/>
            </w:tcMar>
          </w:tcPr>
          <w:p>
            <w:pPr>
              <w:spacing w:after="0" w:line="260"/>
            </w:pPr>
            <w:r>
              <w:rPr>
                <w:rFonts w:ascii="Arial" w:cs="Arial" w:eastAsia="Arial" w:hAnsi="Arial"/>
                <w:b/>
                <w:bCs/>
                <w:color w:val="FFFFFF"/>
                <w:sz w:val="18"/>
                <w:szCs w:val="18"/>
              </w:rPr>
              <w:t xml:space="preserve">Capability</w:t>
            </w:r>
          </w:p>
        </w:tc>
        <w:tc>
          <w:tcPr>
            <w:tcW w:type="dxa" w:w="4500"/>
            <w:shd w:fill="1D1A55" w:val="clear"/>
            <w:tcMar>
              <w:top w:type="dxa" w:w="80"/>
              <w:left w:type="dxa" w:w="110"/>
              <w:bottom w:type="dxa" w:w="80"/>
              <w:right w:type="dxa" w:w="110"/>
            </w:tcMar>
          </w:tcPr>
          <w:p>
            <w:pPr>
              <w:spacing w:after="0" w:line="260"/>
            </w:pPr>
            <w:r>
              <w:rPr>
                <w:rFonts w:ascii="Arial" w:cs="Arial" w:eastAsia="Arial" w:hAnsi="Arial"/>
                <w:b/>
                <w:bCs/>
                <w:color w:val="FFFFFF"/>
                <w:sz w:val="18"/>
                <w:szCs w:val="18"/>
              </w:rPr>
              <w:t xml:space="preserve">Status today</w:t>
            </w:r>
          </w:p>
        </w:tc>
      </w:tr>
      <w:tr>
        <w:tc>
          <w:tcPr>
            <w:tcW w:type="dxa" w:w="4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Descriptive (what happened)</w:t>
            </w:r>
          </w:p>
        </w:tc>
        <w:tc>
          <w:tcPr>
            <w:tcW w:type="dxa" w:w="4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In place via dashboards, but largely static and often rebuilt manually.</w:t>
            </w:r>
          </w:p>
        </w:tc>
      </w:tr>
      <w:tr>
        <w:tc>
          <w:tcPr>
            <w:tcW w:type="dxa" w:w="45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Diagnostic and interrogation (why)</w:t>
            </w:r>
          </w:p>
        </w:tc>
        <w:tc>
          <w:tcPr>
            <w:tcW w:type="dxa" w:w="45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Limited. Hard to ask open questions of the data and get an answer.</w:t>
            </w:r>
          </w:p>
        </w:tc>
      </w:tr>
      <w:tr>
        <w:tc>
          <w:tcPr>
            <w:tcW w:type="dxa" w:w="4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Predictive (what will happen)</w:t>
            </w:r>
          </w:p>
        </w:tc>
        <w:tc>
          <w:tcPr>
            <w:tcW w:type="dxa" w:w="4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Not in place.</w:t>
            </w:r>
          </w:p>
        </w:tc>
      </w:tr>
      <w:tr>
        <w:tc>
          <w:tcPr>
            <w:tcW w:type="dxa" w:w="45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Prescriptive (what to do about it)</w:t>
            </w:r>
          </w:p>
        </w:tc>
        <w:tc>
          <w:tcPr>
            <w:tcW w:type="dxa" w:w="45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Not in place.</w:t>
            </w:r>
          </w:p>
        </w:tc>
      </w:tr>
      <w:tr>
        <w:tc>
          <w:tcPr>
            <w:tcW w:type="dxa" w:w="4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Activation (acting on insight)</w:t>
            </w:r>
          </w:p>
        </w:tc>
        <w:tc>
          <w:tcPr>
            <w:tcW w:type="dxa" w:w="4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Minimal. A few alerts only.</w:t>
            </w:r>
          </w:p>
        </w:tc>
      </w:tr>
    </w:tbl>
    <w:p>
      <w:pPr>
        <w:spacing w:after="140" w:line="300"/>
      </w:pPr>
      <w:r>
        <w:rPr>
          <w:rFonts w:ascii="Arial" w:cs="Arial" w:eastAsia="Arial" w:hAnsi="Arial"/>
          <w:sz w:val="21"/>
          <w:szCs w:val="21"/>
        </w:rPr>
        <w:t xml:space="preserve"/>
      </w:r>
    </w:p>
    <w:p>
      <w:pPr>
        <w:spacing w:after="140" w:line="300"/>
      </w:pPr>
      <w:r>
        <w:rPr>
          <w:rFonts w:ascii="Arial" w:cs="Arial" w:eastAsia="Arial" w:hAnsi="Arial"/>
          <w:sz w:val="21"/>
          <w:szCs w:val="21"/>
        </w:rPr>
        <w:t xml:space="preserve">A recurring frustration is that insight is slow and laborious to produce. Reporting is often two dimensional, sits in spreadsheets, and depends on someone finding time to rebuild it. We want to fix the source of that, not add another dashboard on top.</w:t>
      </w:r>
    </w:p>
    <w:p>
      <w:pPr>
        <w:pStyle w:val="Heading1"/>
        <w:spacing w:after="150" w:before="360"/>
      </w:pPr>
      <w:r>
        <w:rPr>
          <w:rFonts w:ascii="Arial" w:cs="Arial" w:eastAsia="Arial" w:hAnsi="Arial"/>
          <w:b/>
          <w:bCs/>
          <w:color w:val="1D1A55"/>
          <w:sz w:val="30"/>
          <w:szCs w:val="30"/>
        </w:rPr>
        <w:t xml:space="preserve">4. Where we want to get to</w:t>
      </w:r>
    </w:p>
    <w:p>
      <w:pPr>
        <w:spacing w:after="140" w:line="300"/>
      </w:pPr>
      <w:r>
        <w:rPr>
          <w:rFonts w:ascii="Arial" w:cs="Arial" w:eastAsia="Arial" w:hAnsi="Arial"/>
          <w:sz w:val="21"/>
          <w:szCs w:val="21"/>
        </w:rPr>
        <w:t xml:space="preserve">Our leadership team ran a discovery session to define this. The clear and deliberate priority is one thing, not a long feature list: a secure environment where the leadership team can ask questions about the business in plain language and trust the answers.</w:t>
      </w:r>
    </w:p>
    <w:p>
      <w:pPr>
        <w:pStyle w:val="Heading2"/>
        <w:spacing w:after="110" w:before="260"/>
      </w:pPr>
      <w:r>
        <w:rPr>
          <w:rFonts w:ascii="Arial" w:cs="Arial" w:eastAsia="Arial" w:hAnsi="Arial"/>
          <w:b/>
          <w:bCs/>
          <w:color w:val="4735CF"/>
          <w:sz w:val="24"/>
          <w:szCs w:val="24"/>
        </w:rPr>
        <w:t xml:space="preserve">The core capability we want (Phase 1)</w:t>
      </w:r>
    </w:p>
    <w:p>
      <w:pPr>
        <w:pStyle w:val="ListParagraph"/>
        <w:numPr>
          <w:ilvl w:val="0"/>
          <w:numId w:val="2"/>
        </w:numPr>
        <w:spacing w:after="90" w:line="290"/>
      </w:pPr>
      <w:r>
        <w:rPr>
          <w:rFonts w:ascii="Arial" w:cs="Arial" w:eastAsia="Arial" w:hAnsi="Arial"/>
          <w:sz w:val="21"/>
          <w:szCs w:val="21"/>
        </w:rPr>
        <w:t xml:space="preserve">Ask questions about the business in natural language and get accurate answers. For example: what is the state of the business right now, is a given site profitable, if not why not, and what could we do about it.</w:t>
      </w:r>
    </w:p>
    <w:p>
      <w:pPr>
        <w:pStyle w:val="ListParagraph"/>
        <w:numPr>
          <w:ilvl w:val="0"/>
          <w:numId w:val="2"/>
        </w:numPr>
        <w:spacing w:after="90" w:line="290"/>
      </w:pPr>
      <w:r>
        <w:rPr>
          <w:rFonts w:ascii="Arial" w:cs="Arial" w:eastAsia="Arial" w:hAnsi="Arial"/>
          <w:sz w:val="21"/>
          <w:szCs w:val="21"/>
        </w:rPr>
        <w:t xml:space="preserve">Awareness of business context, so answers carry meaning. It should understand our board pack, our KPIs, why those KPIs matter and their current status.</w:t>
      </w:r>
    </w:p>
    <w:p>
      <w:pPr>
        <w:pStyle w:val="ListParagraph"/>
        <w:numPr>
          <w:ilvl w:val="0"/>
          <w:numId w:val="2"/>
        </w:numPr>
        <w:spacing w:after="90" w:line="290"/>
      </w:pPr>
      <w:r>
        <w:rPr>
          <w:rFonts w:ascii="Arial" w:cs="Arial" w:eastAsia="Arial" w:hAnsi="Arial"/>
          <w:sz w:val="21"/>
          <w:szCs w:val="21"/>
        </w:rPr>
        <w:t xml:space="preserve">Proactive insight. The capability surfaces relevant information and trends to us, rather than us always having to pull it.</w:t>
      </w:r>
    </w:p>
    <w:p>
      <w:pPr>
        <w:pStyle w:val="ListParagraph"/>
        <w:numPr>
          <w:ilvl w:val="0"/>
          <w:numId w:val="2"/>
        </w:numPr>
        <w:spacing w:after="90" w:line="290"/>
      </w:pPr>
      <w:r>
        <w:rPr>
          <w:rFonts w:ascii="Arial" w:cs="Arial" w:eastAsia="Arial" w:hAnsi="Arial"/>
          <w:sz w:val="21"/>
          <w:szCs w:val="21"/>
        </w:rPr>
        <w:t xml:space="preserve">Foresight over time. Spotting patterns and early signals in our own data.</w:t>
      </w:r>
    </w:p>
    <w:p>
      <w:pPr>
        <w:pStyle w:val="ListParagraph"/>
        <w:numPr>
          <w:ilvl w:val="0"/>
          <w:numId w:val="2"/>
        </w:numPr>
        <w:spacing w:after="90" w:line="290"/>
      </w:pPr>
      <w:r>
        <w:rPr>
          <w:rFonts w:ascii="Arial" w:cs="Arial" w:eastAsia="Arial" w:hAnsi="Arial"/>
          <w:sz w:val="21"/>
          <w:szCs w:val="21"/>
        </w:rPr>
        <w:t xml:space="preserve">Built for the leadership team first. Wider team access is designed later, once the foundation is proven and trusted.</w:t>
      </w:r>
    </w:p>
    <w:p>
      <w:pPr>
        <w:pStyle w:val="Heading2"/>
        <w:spacing w:after="110" w:before="260"/>
      </w:pPr>
      <w:r>
        <w:rPr>
          <w:rFonts w:ascii="Arial" w:cs="Arial" w:eastAsia="Arial" w:hAnsi="Arial"/>
          <w:b/>
          <w:bCs/>
          <w:color w:val="4735CF"/>
          <w:sz w:val="24"/>
          <w:szCs w:val="24"/>
        </w:rPr>
        <w:t xml:space="preserve">Where it goes next (Phase 2, for context only, not in this scope)</w:t>
      </w:r>
    </w:p>
    <w:p>
      <w:pPr>
        <w:spacing w:after="140" w:line="300"/>
      </w:pPr>
      <w:r>
        <w:rPr>
          <w:rFonts w:ascii="Arial" w:cs="Arial" w:eastAsia="Arial" w:hAnsi="Arial"/>
          <w:sz w:val="21"/>
          <w:szCs w:val="21"/>
        </w:rPr>
        <w:t xml:space="preserve">We want Phase 1 built so these extend from it without a rebuild. Please keep them in mind for architecture, but do not price them now.</w:t>
      </w:r>
    </w:p>
    <w:p>
      <w:pPr>
        <w:pStyle w:val="ListParagraph"/>
        <w:numPr>
          <w:ilvl w:val="0"/>
          <w:numId w:val="2"/>
        </w:numPr>
        <w:spacing w:after="90" w:line="290"/>
      </w:pPr>
      <w:r>
        <w:rPr>
          <w:rFonts w:ascii="Arial" w:cs="Arial" w:eastAsia="Arial" w:hAnsi="Arial"/>
          <w:sz w:val="21"/>
          <w:szCs w:val="21"/>
        </w:rPr>
        <w:t xml:space="preserve">Automating recurring member and retention reporting so it is real time rather than rebuilt by hand each week.</w:t>
      </w:r>
    </w:p>
    <w:p>
      <w:pPr>
        <w:pStyle w:val="ListParagraph"/>
        <w:numPr>
          <w:ilvl w:val="0"/>
          <w:numId w:val="2"/>
        </w:numPr>
        <w:spacing w:after="90" w:line="290"/>
      </w:pPr>
      <w:r>
        <w:rPr>
          <w:rFonts w:ascii="Arial" w:cs="Arial" w:eastAsia="Arial" w:hAnsi="Arial"/>
          <w:sz w:val="21"/>
          <w:szCs w:val="21"/>
        </w:rPr>
        <w:t xml:space="preserve">Churn and renewal prediction, with context packs a team member can take into a renewal conversation.</w:t>
      </w:r>
    </w:p>
    <w:p>
      <w:pPr>
        <w:pStyle w:val="ListParagraph"/>
        <w:numPr>
          <w:ilvl w:val="0"/>
          <w:numId w:val="2"/>
        </w:numPr>
        <w:spacing w:after="90" w:line="290"/>
      </w:pPr>
      <w:r>
        <w:rPr>
          <w:rFonts w:ascii="Arial" w:cs="Arial" w:eastAsia="Arial" w:hAnsi="Arial"/>
          <w:sz w:val="21"/>
          <w:szCs w:val="21"/>
        </w:rPr>
        <w:t xml:space="preserve">Revenue and membership forecasting, for example resident revenue projection, net member movements, seasonality and meeting room demand.</w:t>
      </w:r>
    </w:p>
    <w:p>
      <w:pPr>
        <w:pStyle w:val="ListParagraph"/>
        <w:numPr>
          <w:ilvl w:val="0"/>
          <w:numId w:val="2"/>
        </w:numPr>
        <w:spacing w:after="90" w:line="290"/>
      </w:pPr>
      <w:r>
        <w:rPr>
          <w:rFonts w:ascii="Arial" w:cs="Arial" w:eastAsia="Arial" w:hAnsi="Arial"/>
          <w:sz w:val="21"/>
          <w:szCs w:val="21"/>
        </w:rPr>
        <w:t xml:space="preserve">Role based access for wider teams, and agents or automations built on top of the foundation.</w:t>
      </w:r>
    </w:p>
    <w:p>
      <w:pPr>
        <w:pStyle w:val="Heading1"/>
        <w:spacing w:after="150" w:before="360"/>
      </w:pPr>
      <w:r>
        <w:rPr>
          <w:rFonts w:ascii="Arial" w:cs="Arial" w:eastAsia="Arial" w:hAnsi="Arial"/>
          <w:b/>
          <w:bCs/>
          <w:color w:val="1D1A55"/>
          <w:sz w:val="30"/>
          <w:szCs w:val="30"/>
        </w:rPr>
        <w:t xml:space="preserve">5. Principles the solution must respect</w:t>
      </w:r>
    </w:p>
    <w:p>
      <w:pPr>
        <w:spacing w:after="140" w:line="300"/>
      </w:pPr>
      <w:r>
        <w:rPr>
          <w:rFonts w:ascii="Arial" w:cs="Arial" w:eastAsia="Arial" w:hAnsi="Arial"/>
          <w:sz w:val="21"/>
          <w:szCs w:val="21"/>
        </w:rPr>
        <w:t xml:space="preserve">These came directly from our leadership team and are non-negotiable. Please design your proposal around them.</w:t>
      </w:r>
    </w:p>
    <w:p>
      <w:pPr>
        <w:pStyle w:val="ListParagraph"/>
        <w:numPr>
          <w:ilvl w:val="0"/>
          <w:numId w:val="2"/>
        </w:numPr>
        <w:spacing w:after="90" w:line="290"/>
      </w:pPr>
      <w:r>
        <w:rPr>
          <w:rFonts w:ascii="Arial" w:cs="Arial" w:eastAsia="Arial" w:hAnsi="Arial"/>
          <w:b/>
          <w:bCs/>
          <w:sz w:val="21"/>
          <w:szCs w:val="21"/>
        </w:rPr>
        <w:t xml:space="preserve">Warehouse first, on a copy: </w:t>
      </w:r>
      <w:r>
        <w:rPr>
          <w:rFonts w:ascii="Arial" w:cs="Arial" w:eastAsia="Arial" w:hAnsi="Arial"/>
          <w:sz w:val="21"/>
          <w:szCs w:val="21"/>
        </w:rPr>
        <w:t xml:space="preserve">The AI layer sits on top of the BigQuery warehouse. It works from a controlled copy of the data, not our live primary sources.</w:t>
      </w:r>
    </w:p>
    <w:p>
      <w:pPr>
        <w:pStyle w:val="ListParagraph"/>
        <w:numPr>
          <w:ilvl w:val="0"/>
          <w:numId w:val="2"/>
        </w:numPr>
        <w:spacing w:after="90" w:line="290"/>
      </w:pPr>
      <w:r>
        <w:rPr>
          <w:rFonts w:ascii="Arial" w:cs="Arial" w:eastAsia="Arial" w:hAnsi="Arial"/>
          <w:b/>
          <w:bCs/>
          <w:sz w:val="21"/>
          <w:szCs w:val="21"/>
        </w:rPr>
        <w:t xml:space="preserve">Source agnostic: </w:t>
      </w:r>
      <w:r>
        <w:rPr>
          <w:rFonts w:ascii="Arial" w:cs="Arial" w:eastAsia="Arial" w:hAnsi="Arial"/>
          <w:sz w:val="21"/>
          <w:szCs w:val="21"/>
        </w:rPr>
        <w:t xml:space="preserve">If we replace a source system, for example Nexudus, or as HubSpot becomes our member source of truth, we want to swap the feed into the warehouse without rebuilding the AI layer on top. Please explain how your approach delivers this resilience.</w:t>
      </w:r>
    </w:p>
    <w:p>
      <w:pPr>
        <w:pStyle w:val="ListParagraph"/>
        <w:numPr>
          <w:ilvl w:val="0"/>
          <w:numId w:val="2"/>
        </w:numPr>
        <w:spacing w:after="90" w:line="290"/>
      </w:pPr>
      <w:r>
        <w:rPr>
          <w:rFonts w:ascii="Arial" w:cs="Arial" w:eastAsia="Arial" w:hAnsi="Arial"/>
          <w:b/>
          <w:bCs/>
          <w:sz w:val="21"/>
          <w:szCs w:val="21"/>
        </w:rPr>
        <w:t xml:space="preserve">Safe data only: </w:t>
      </w:r>
      <w:r>
        <w:rPr>
          <w:rFonts w:ascii="Arial" w:cs="Arial" w:eastAsia="Arial" w:hAnsi="Arial"/>
          <w:sz w:val="21"/>
          <w:szCs w:val="21"/>
        </w:rPr>
        <w:t xml:space="preserve">Only data that is safe to expose is included, following the same principle as our current reporting extracts. Sensitive data stays out.</w:t>
      </w:r>
    </w:p>
    <w:p>
      <w:pPr>
        <w:pStyle w:val="ListParagraph"/>
        <w:numPr>
          <w:ilvl w:val="0"/>
          <w:numId w:val="2"/>
        </w:numPr>
        <w:spacing w:after="90" w:line="290"/>
      </w:pPr>
      <w:r>
        <w:rPr>
          <w:rFonts w:ascii="Arial" w:cs="Arial" w:eastAsia="Arial" w:hAnsi="Arial"/>
          <w:b/>
          <w:bCs/>
          <w:sz w:val="21"/>
          <w:szCs w:val="21"/>
        </w:rPr>
        <w:t xml:space="preserve">People data excluded: </w:t>
      </w:r>
      <w:r>
        <w:rPr>
          <w:rFonts w:ascii="Arial" w:cs="Arial" w:eastAsia="Arial" w:hAnsi="Arial"/>
          <w:sz w:val="21"/>
          <w:szCs w:val="21"/>
        </w:rPr>
        <w:t xml:space="preserve">Our people and HR data must not be connected to this capability. It is served by a separate HR system and is out of scope entirely.</w:t>
      </w:r>
    </w:p>
    <w:p>
      <w:pPr>
        <w:pStyle w:val="ListParagraph"/>
        <w:numPr>
          <w:ilvl w:val="0"/>
          <w:numId w:val="2"/>
        </w:numPr>
        <w:spacing w:after="90" w:line="290"/>
      </w:pPr>
      <w:r>
        <w:rPr>
          <w:rFonts w:ascii="Arial" w:cs="Arial" w:eastAsia="Arial" w:hAnsi="Arial"/>
          <w:b/>
          <w:bCs/>
          <w:sz w:val="21"/>
          <w:szCs w:val="21"/>
        </w:rPr>
        <w:t xml:space="preserve">Accuracy is a launch gate: </w:t>
      </w:r>
      <w:r>
        <w:rPr>
          <w:rFonts w:ascii="Arial" w:cs="Arial" w:eastAsia="Arial" w:hAnsi="Arial"/>
          <w:sz w:val="21"/>
          <w:szCs w:val="21"/>
        </w:rPr>
        <w:t xml:space="preserve">If it confidently returns a wrong figure, trust is lost. Accuracy must be tested against our actual results before the leadership team relies on it. Treat this as a launch gate.</w:t>
      </w:r>
    </w:p>
    <w:p>
      <w:pPr>
        <w:pStyle w:val="ListParagraph"/>
        <w:numPr>
          <w:ilvl w:val="0"/>
          <w:numId w:val="2"/>
        </w:numPr>
        <w:spacing w:after="90" w:line="290"/>
      </w:pPr>
      <w:r>
        <w:rPr>
          <w:rFonts w:ascii="Arial" w:cs="Arial" w:eastAsia="Arial" w:hAnsi="Arial"/>
          <w:b/>
          <w:bCs/>
          <w:sz w:val="21"/>
          <w:szCs w:val="21"/>
        </w:rPr>
        <w:t xml:space="preserve">Cost conscious: </w:t>
      </w:r>
      <w:r>
        <w:rPr>
          <w:rFonts w:ascii="Arial" w:cs="Arial" w:eastAsia="Arial" w:hAnsi="Arial"/>
          <w:sz w:val="21"/>
          <w:szCs w:val="21"/>
        </w:rPr>
        <w:t xml:space="preserve">This cannot become a six figure operation needing a large data team to run. We need realistic, managed ongoing cost, including how usage and token costs are controlled.</w:t>
      </w:r>
    </w:p>
    <w:p>
      <w:pPr>
        <w:pStyle w:val="ListParagraph"/>
        <w:numPr>
          <w:ilvl w:val="0"/>
          <w:numId w:val="2"/>
        </w:numPr>
        <w:spacing w:after="90" w:line="290"/>
      </w:pPr>
      <w:r>
        <w:rPr>
          <w:rFonts w:ascii="Arial" w:cs="Arial" w:eastAsia="Arial" w:hAnsi="Arial"/>
          <w:b/>
          <w:bCs/>
          <w:sz w:val="21"/>
          <w:szCs w:val="21"/>
        </w:rPr>
        <w:t xml:space="preserve">Secure by design: </w:t>
      </w:r>
      <w:r>
        <w:rPr>
          <w:rFonts w:ascii="Arial" w:cs="Arial" w:eastAsia="Arial" w:hAnsi="Arial"/>
          <w:sz w:val="21"/>
          <w:szCs w:val="21"/>
        </w:rPr>
        <w:t xml:space="preserve">Access via Work.Life accounts only, in a safe environment, with a clear view of what should and should not be connected.</w:t>
      </w:r>
    </w:p>
    <w:p>
      <w:pPr>
        <w:pStyle w:val="ListParagraph"/>
        <w:numPr>
          <w:ilvl w:val="0"/>
          <w:numId w:val="2"/>
        </w:numPr>
        <w:spacing w:after="90" w:line="290"/>
      </w:pPr>
      <w:r>
        <w:rPr>
          <w:rFonts w:ascii="Arial" w:cs="Arial" w:eastAsia="Arial" w:hAnsi="Arial"/>
          <w:b/>
          <w:bCs/>
          <w:sz w:val="21"/>
          <w:szCs w:val="21"/>
        </w:rPr>
        <w:t xml:space="preserve">Documented and handover ready: </w:t>
      </w:r>
      <w:r>
        <w:rPr>
          <w:rFonts w:ascii="Arial" w:cs="Arial" w:eastAsia="Arial" w:hAnsi="Arial"/>
          <w:sz w:val="21"/>
          <w:szCs w:val="21"/>
        </w:rPr>
        <w:t xml:space="preserve">Setup, data flows and operation must be documented so the capability does not depend on any single person, on your side or ours.</w:t>
      </w:r>
    </w:p>
    <w:p>
      <w:pPr>
        <w:pStyle w:val="Heading1"/>
        <w:spacing w:after="150" w:before="360"/>
      </w:pPr>
      <w:r>
        <w:rPr>
          <w:rFonts w:ascii="Arial" w:cs="Arial" w:eastAsia="Arial" w:hAnsi="Arial"/>
          <w:b/>
          <w:bCs/>
          <w:color w:val="1D1A55"/>
          <w:sz w:val="30"/>
          <w:szCs w:val="30"/>
        </w:rPr>
        <w:t xml:space="preserve">6. Scope of this engagement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D1A55" w:val="clear"/>
            <w:tcMar>
              <w:top w:type="dxa" w:w="80"/>
              <w:left w:type="dxa" w:w="110"/>
              <w:bottom w:type="dxa" w:w="80"/>
              <w:right w:type="dxa" w:w="110"/>
            </w:tcMar>
          </w:tcPr>
          <w:p>
            <w:pPr>
              <w:spacing w:after="0" w:line="260"/>
            </w:pPr>
            <w:r>
              <w:rPr>
                <w:rFonts w:ascii="Arial" w:cs="Arial" w:eastAsia="Arial" w:hAnsi="Arial"/>
                <w:b/>
                <w:bCs/>
                <w:color w:val="FFFFFF"/>
                <w:sz w:val="18"/>
                <w:szCs w:val="18"/>
              </w:rPr>
              <w:t xml:space="preserve">In scope now (Phase 1)</w:t>
            </w:r>
          </w:p>
        </w:tc>
        <w:tc>
          <w:tcPr>
            <w:tcW w:type="dxa" w:w="4500"/>
            <w:shd w:fill="1D1A55" w:val="clear"/>
            <w:tcMar>
              <w:top w:type="dxa" w:w="80"/>
              <w:left w:type="dxa" w:w="110"/>
              <w:bottom w:type="dxa" w:w="80"/>
              <w:right w:type="dxa" w:w="110"/>
            </w:tcMar>
          </w:tcPr>
          <w:p>
            <w:pPr>
              <w:spacing w:after="0" w:line="260"/>
            </w:pPr>
            <w:r>
              <w:rPr>
                <w:rFonts w:ascii="Arial" w:cs="Arial" w:eastAsia="Arial" w:hAnsi="Arial"/>
                <w:b/>
                <w:bCs/>
                <w:color w:val="FFFFFF"/>
                <w:sz w:val="18"/>
                <w:szCs w:val="18"/>
              </w:rPr>
              <w:t xml:space="preserve">Out of scope for now</w:t>
            </w:r>
          </w:p>
        </w:tc>
      </w:tr>
      <w:tr>
        <w:tc>
          <w:tcPr>
            <w:tcW w:type="dxa" w:w="4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Secure environment for leadership team to interrogate a controlled copy of BigQuery data in natural language.</w:t>
            </w:r>
          </w:p>
        </w:tc>
        <w:tc>
          <w:tcPr>
            <w:tcW w:type="dxa" w:w="4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Member facing AI and bespoke member tooling.</w:t>
            </w:r>
          </w:p>
        </w:tc>
      </w:tr>
      <w:tr>
        <w:tc>
          <w:tcPr>
            <w:tcW w:type="dxa" w:w="45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Loading business context (board pack, KPIs and definitions).</w:t>
            </w:r>
          </w:p>
        </w:tc>
        <w:tc>
          <w:tcPr>
            <w:tcW w:type="dxa" w:w="45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Front end finance automation.</w:t>
            </w:r>
          </w:p>
        </w:tc>
      </w:tr>
      <w:tr>
        <w:tc>
          <w:tcPr>
            <w:tcW w:type="dxa" w:w="4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Accuracy testing against actual results before go live.</w:t>
            </w:r>
          </w:p>
        </w:tc>
        <w:tc>
          <w:tcPr>
            <w:tcW w:type="dxa" w:w="45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People and HR data and use cases.</w:t>
            </w:r>
          </w:p>
        </w:tc>
      </w:tr>
      <w:tr>
        <w:tc>
          <w:tcPr>
            <w:tcW w:type="dxa" w:w="45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Security, access control and documentation.</w:t>
            </w:r>
          </w:p>
        </w:tc>
        <w:tc>
          <w:tcPr>
            <w:tcW w:type="dxa" w:w="45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Phase 2 use cases (reporting automation, churn, forecasting), though architecture should allow for them.</w:t>
            </w:r>
          </w:p>
        </w:tc>
      </w:tr>
    </w:tbl>
    <w:p>
      <w:pPr>
        <w:pStyle w:val="Heading1"/>
        <w:spacing w:after="150" w:before="360"/>
      </w:pPr>
      <w:r>
        <w:rPr>
          <w:rFonts w:ascii="Arial" w:cs="Arial" w:eastAsia="Arial" w:hAnsi="Arial"/>
          <w:b/>
          <w:bCs/>
          <w:color w:val="1D1A55"/>
          <w:sz w:val="30"/>
          <w:szCs w:val="30"/>
        </w:rPr>
        <w:t xml:space="preserve">7. What we would like you to tell us</w:t>
      </w:r>
    </w:p>
    <w:p>
      <w:pPr>
        <w:spacing w:after="140" w:line="300"/>
      </w:pPr>
      <w:r>
        <w:rPr>
          <w:rFonts w:ascii="Arial" w:cs="Arial" w:eastAsia="Arial" w:hAnsi="Arial"/>
          <w:sz w:val="21"/>
          <w:szCs w:val="21"/>
        </w:rPr>
        <w:t xml:space="preserve">Please respond to the following. Where something depends on decisions we have not yet made, tell us what you would need from us to firm it up.</w:t>
      </w:r>
    </w:p>
    <w:p>
      <w:pPr>
        <w:pStyle w:val="ListParagraph"/>
        <w:numPr>
          <w:ilvl w:val="0"/>
          <w:numId w:val="3"/>
        </w:numPr>
        <w:spacing w:after="110" w:line="290"/>
      </w:pPr>
      <w:r>
        <w:rPr>
          <w:rFonts w:ascii="Arial" w:cs="Arial" w:eastAsia="Arial" w:hAnsi="Arial"/>
          <w:sz w:val="21"/>
          <w:szCs w:val="21"/>
        </w:rPr>
        <w:t xml:space="preserve">Feasibility and approach. Can you build the Phase 1 capability described above on our existing BigQuery warehouse? What architecture and approach would you recommend, in plain terms?</w:t>
      </w:r>
    </w:p>
    <w:p>
      <w:pPr>
        <w:pStyle w:val="ListParagraph"/>
        <w:numPr>
          <w:ilvl w:val="0"/>
          <w:numId w:val="3"/>
        </w:numPr>
        <w:spacing w:after="110" w:line="290"/>
      </w:pPr>
      <w:r>
        <w:rPr>
          <w:rFonts w:ascii="Arial" w:cs="Arial" w:eastAsia="Arial" w:hAnsi="Arial"/>
          <w:sz w:val="21"/>
          <w:szCs w:val="21"/>
        </w:rPr>
        <w:t xml:space="preserve">Timeline. What could realistically be delivered by a 3 month mark and a 6 month mark, and what would need to be true on our side for that to happen?</w:t>
      </w:r>
    </w:p>
    <w:p>
      <w:pPr>
        <w:pStyle w:val="ListParagraph"/>
        <w:numPr>
          <w:ilvl w:val="0"/>
          <w:numId w:val="3"/>
        </w:numPr>
        <w:spacing w:after="110" w:line="290"/>
      </w:pPr>
      <w:r>
        <w:rPr>
          <w:rFonts w:ascii="Arial" w:cs="Arial" w:eastAsia="Arial" w:hAnsi="Arial"/>
          <w:sz w:val="21"/>
          <w:szCs w:val="21"/>
        </w:rPr>
        <w:t xml:space="preserve">What you need from us. Data access, preparation, decisions or resources you would require from Work.Life.</w:t>
      </w:r>
    </w:p>
    <w:p>
      <w:pPr>
        <w:pStyle w:val="ListParagraph"/>
        <w:numPr>
          <w:ilvl w:val="0"/>
          <w:numId w:val="3"/>
        </w:numPr>
        <w:spacing w:after="110" w:line="290"/>
      </w:pPr>
      <w:r>
        <w:rPr>
          <w:rFonts w:ascii="Arial" w:cs="Arial" w:eastAsia="Arial" w:hAnsi="Arial"/>
          <w:sz w:val="21"/>
          <w:szCs w:val="21"/>
        </w:rPr>
        <w:t xml:space="preserve">Cost. One off build cost, plus indicative ongoing annual running cost at two levels: leadership team only, and wider team access. How would you manage and cap usage or token costs?</w:t>
      </w:r>
    </w:p>
    <w:p>
      <w:pPr>
        <w:pStyle w:val="ListParagraph"/>
        <w:numPr>
          <w:ilvl w:val="0"/>
          <w:numId w:val="3"/>
        </w:numPr>
        <w:spacing w:after="110" w:line="290"/>
      </w:pPr>
      <w:r>
        <w:rPr>
          <w:rFonts w:ascii="Arial" w:cs="Arial" w:eastAsia="Arial" w:hAnsi="Arial"/>
          <w:sz w:val="21"/>
          <w:szCs w:val="21"/>
        </w:rPr>
        <w:t xml:space="preserve">Security. How would you secure the environment? Access control, data isolation, and anything you would recommend we never connect. Any recommendations for our internal AI usage policy are welcome.</w:t>
      </w:r>
    </w:p>
    <w:p>
      <w:pPr>
        <w:pStyle w:val="ListParagraph"/>
        <w:numPr>
          <w:ilvl w:val="0"/>
          <w:numId w:val="3"/>
        </w:numPr>
        <w:spacing w:after="110" w:line="290"/>
      </w:pPr>
      <w:r>
        <w:rPr>
          <w:rFonts w:ascii="Arial" w:cs="Arial" w:eastAsia="Arial" w:hAnsi="Arial"/>
          <w:sz w:val="21"/>
          <w:szCs w:val="21"/>
        </w:rPr>
        <w:t xml:space="preserve">Accuracy. How do you handle accuracy and the risk of confidently wrong answers? What testing and validation would you recommend before the leadership team trusts it, and how would the accuracy against actuals check work in practice?</w:t>
      </w:r>
    </w:p>
    <w:p>
      <w:pPr>
        <w:pStyle w:val="ListParagraph"/>
        <w:numPr>
          <w:ilvl w:val="0"/>
          <w:numId w:val="3"/>
        </w:numPr>
        <w:spacing w:after="110" w:line="290"/>
      </w:pPr>
      <w:r>
        <w:rPr>
          <w:rFonts w:ascii="Arial" w:cs="Arial" w:eastAsia="Arial" w:hAnsi="Arial"/>
          <w:sz w:val="21"/>
          <w:szCs w:val="21"/>
        </w:rPr>
        <w:t xml:space="preserve">Resilience. How does your solution stay source agnostic if we change a system feeding the warehouse?</w:t>
      </w:r>
    </w:p>
    <w:p>
      <w:pPr>
        <w:pStyle w:val="ListParagraph"/>
        <w:numPr>
          <w:ilvl w:val="0"/>
          <w:numId w:val="3"/>
        </w:numPr>
        <w:spacing w:after="110" w:line="290"/>
      </w:pPr>
      <w:r>
        <w:rPr>
          <w:rFonts w:ascii="Arial" w:cs="Arial" w:eastAsia="Arial" w:hAnsi="Arial"/>
          <w:sz w:val="21"/>
          <w:szCs w:val="21"/>
        </w:rPr>
        <w:t xml:space="preserve">Documentation and handover. How is the build documented and handed over so it is not dependent on one person?</w:t>
      </w:r>
    </w:p>
    <w:p>
      <w:pPr>
        <w:pStyle w:val="ListParagraph"/>
        <w:numPr>
          <w:ilvl w:val="0"/>
          <w:numId w:val="3"/>
        </w:numPr>
        <w:spacing w:after="110" w:line="290"/>
      </w:pPr>
      <w:r>
        <w:rPr>
          <w:rFonts w:ascii="Arial" w:cs="Arial" w:eastAsia="Arial" w:hAnsi="Arial"/>
          <w:sz w:val="21"/>
          <w:szCs w:val="21"/>
        </w:rPr>
        <w:t xml:space="preserve">Support and resourcing. What does ongoing support look like, and what capability, if any, would we need to hold in house?</w:t>
      </w:r>
    </w:p>
    <w:p>
      <w:pPr>
        <w:pStyle w:val="ListParagraph"/>
        <w:numPr>
          <w:ilvl w:val="0"/>
          <w:numId w:val="3"/>
        </w:numPr>
        <w:spacing w:after="110" w:line="290"/>
      </w:pPr>
      <w:r>
        <w:rPr>
          <w:rFonts w:ascii="Arial" w:cs="Arial" w:eastAsia="Arial" w:hAnsi="Arial"/>
          <w:sz w:val="21"/>
          <w:szCs w:val="21"/>
        </w:rPr>
        <w:t xml:space="preserve">Scalability. How would Phase 1 extend to the Phase 2 use cases in section 4 without a significant rebuild?</w:t>
      </w:r>
    </w:p>
    <w:p>
      <w:pPr>
        <w:pStyle w:val="Heading1"/>
        <w:spacing w:after="150" w:before="360"/>
      </w:pPr>
      <w:r>
        <w:rPr>
          <w:rFonts w:ascii="Arial" w:cs="Arial" w:eastAsia="Arial" w:hAnsi="Arial"/>
          <w:b/>
          <w:bCs/>
          <w:color w:val="1D1A55"/>
          <w:sz w:val="30"/>
          <w:szCs w:val="30"/>
        </w:rPr>
        <w:t xml:space="preserve">8. How to respond</w:t>
      </w:r>
    </w:p>
    <w:p>
      <w:pPr>
        <w:spacing w:after="140" w:line="300"/>
      </w:pPr>
      <w:r>
        <w:rPr>
          <w:rFonts w:ascii="Arial" w:cs="Arial" w:eastAsia="Arial" w:hAnsi="Arial"/>
          <w:sz w:val="21"/>
          <w:szCs w:val="21"/>
        </w:rPr>
        <w:t xml:space="preserve">A short written response to the questions in section 7 is ideal, followed by a call to talk it through. We are not looking for a polished formal proposal at this stage, just clear thinking on feasibility, approach, timeline and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D1A55" w:val="clear"/>
            <w:tcMar>
              <w:top w:type="dxa" w:w="80"/>
              <w:left w:type="dxa" w:w="110"/>
              <w:bottom w:type="dxa" w:w="80"/>
              <w:right w:type="dxa" w:w="110"/>
            </w:tcMar>
          </w:tcPr>
          <w:p>
            <w:pPr>
              <w:spacing w:after="0" w:line="260"/>
            </w:pPr>
            <w:r>
              <w:rPr>
                <w:rFonts w:ascii="Arial" w:cs="Arial" w:eastAsia="Arial" w:hAnsi="Arial"/>
                <w:b/>
                <w:bCs/>
                <w:color w:val="FFFFFF"/>
                <w:sz w:val="18"/>
                <w:szCs w:val="18"/>
              </w:rPr>
              <w:t xml:space="preserve">Item</w:t>
            </w:r>
          </w:p>
        </w:tc>
        <w:tc>
          <w:tcPr>
            <w:tcW w:type="dxa" w:w="6400"/>
            <w:shd w:fill="1D1A55" w:val="clear"/>
            <w:tcMar>
              <w:top w:type="dxa" w:w="80"/>
              <w:left w:type="dxa" w:w="110"/>
              <w:bottom w:type="dxa" w:w="80"/>
              <w:right w:type="dxa" w:w="110"/>
            </w:tcMar>
          </w:tcPr>
          <w:p>
            <w:pPr>
              <w:spacing w:after="0" w:line="260"/>
            </w:pPr>
            <w:r>
              <w:rPr>
                <w:rFonts w:ascii="Arial" w:cs="Arial" w:eastAsia="Arial" w:hAnsi="Arial"/>
                <w:b/>
                <w:bCs/>
                <w:color w:val="FFFFFF"/>
                <w:sz w:val="18"/>
                <w:szCs w:val="18"/>
              </w:rPr>
              <w:t xml:space="preserve">Detail</w:t>
            </w:r>
          </w:p>
        </w:tc>
      </w:tr>
      <w:tr>
        <w:tc>
          <w:tcPr>
            <w:tcW w:type="dxa" w:w="26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Response format</w:t>
            </w:r>
          </w:p>
        </w:tc>
        <w:tc>
          <w:tcPr>
            <w:tcW w:type="dxa" w:w="64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Written answers to section 7, plus a follow up call.</w:t>
            </w:r>
          </w:p>
        </w:tc>
      </w:tr>
      <w:tr>
        <w:tc>
          <w:tcPr>
            <w:tcW w:type="dxa" w:w="26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Our decision timeline</w:t>
            </w:r>
          </w:p>
        </w:tc>
        <w:tc>
          <w:tcPr>
            <w:tcW w:type="dxa" w:w="64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We aim to review responses and select a partner by mid September 2026.</w:t>
            </w:r>
          </w:p>
        </w:tc>
      </w:tr>
      <w:tr>
        <w:tc>
          <w:tcPr>
            <w:tcW w:type="dxa" w:w="26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Target for Phase 1</w:t>
            </w:r>
          </w:p>
        </w:tc>
        <w:tc>
          <w:tcPr>
            <w:tcW w:type="dxa" w:w="6400"/>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A working, trusted capability for the leadership team by end of 2026.</w:t>
            </w:r>
          </w:p>
        </w:tc>
      </w:tr>
      <w:tr>
        <w:tc>
          <w:tcPr>
            <w:tcW w:type="dxa" w:w="26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Contact</w:t>
            </w:r>
          </w:p>
        </w:tc>
        <w:tc>
          <w:tcPr>
            <w:tcW w:type="dxa" w:w="6400"/>
            <w:shd w:fill="F2F2F2" w:val="clear"/>
            <w:tcMar>
              <w:top w:type="dxa" w:w="80"/>
              <w:left w:type="dxa" w:w="110"/>
              <w:bottom w:type="dxa" w:w="80"/>
              <w:right w:type="dxa" w:w="110"/>
            </w:tcMar>
          </w:tcPr>
          <w:p>
            <w:pPr>
              <w:spacing w:after="0" w:line="260"/>
            </w:pPr>
            <w:r>
              <w:rPr>
                <w:rFonts w:ascii="Arial" w:cs="Arial" w:eastAsia="Arial" w:hAnsi="Arial"/>
                <w:b w:val="false"/>
                <w:bCs w:val="false"/>
                <w:color w:val="000000"/>
                <w:sz w:val="18"/>
                <w:szCs w:val="18"/>
              </w:rPr>
              <w:t xml:space="preserve">Operations &amp; IT Systems, Work.Life.</w:t>
            </w:r>
          </w:p>
        </w:tc>
      </w:tr>
    </w:tbl>
    <w:p>
      <w:pPr>
        <w:spacing w:after="140" w:line="300"/>
      </w:pPr>
      <w:r>
        <w:rPr>
          <w:rFonts w:ascii="Arial" w:cs="Arial" w:eastAsia="Arial" w:hAnsi="Arial"/>
          <w:sz w:val="21"/>
          <w:szCs w:val="21"/>
        </w:rPr>
        <w:t xml:space="preserve"/>
      </w:r>
    </w:p>
    <w:p>
      <w:pPr>
        <w:spacing w:after="140" w:line="300"/>
      </w:pPr>
      <w:r>
        <w:rPr>
          <w:rFonts w:ascii="Arial" w:cs="Arial" w:eastAsia="Arial" w:hAnsi="Arial"/>
          <w:i/>
          <w:iCs/>
          <w:color w:val="555555"/>
          <w:sz w:val="21"/>
          <w:szCs w:val="21"/>
        </w:rPr>
        <w:t xml:space="preserve">Thank you. We are keen to do this properly and at a sensible pace, so honest feedback on what is and is not realistic is more useful to us than an optimistic pitch.</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2026-07-20T11:56:11.662Z</dcterms:created>
  <dcterms:modified xsi:type="dcterms:W3CDTF">2026-07-20T11:56:11.679Z</dcterms:modified>
</cp:coreProperties>
</file>

<file path=docProps/custom.xml><?xml version="1.0" encoding="utf-8"?>
<Properties xmlns="http://schemas.openxmlformats.org/officeDocument/2006/custom-properties" xmlns:vt="http://schemas.openxmlformats.org/officeDocument/2006/docPropsVTypes"/>
</file>