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B7D8C" w:rsidRDefault="00000000">
      <w:pPr>
        <w:rPr>
          <w:sz w:val="24"/>
          <w:szCs w:val="24"/>
        </w:rPr>
      </w:pPr>
      <w:r>
        <w:rPr>
          <w:sz w:val="24"/>
          <w:szCs w:val="24"/>
        </w:rPr>
        <w:t>Instructions for Claude:</w:t>
      </w:r>
    </w:p>
    <w:p w14:paraId="00000002" w14:textId="77777777" w:rsidR="005B7D8C" w:rsidRDefault="00000000">
      <w:pPr>
        <w:rPr>
          <w:sz w:val="24"/>
          <w:szCs w:val="24"/>
        </w:rPr>
      </w:pPr>
      <w:r>
        <w:rPr>
          <w:sz w:val="24"/>
          <w:szCs w:val="24"/>
        </w:rPr>
        <w:t>The following changes need to be implemented on the pages mentioned. Only implement changes if it is clear what needs to be done. There are 4 types of changes: Change/Replace, Remove, Move, Add.</w:t>
      </w:r>
    </w:p>
    <w:p w14:paraId="00000003" w14:textId="77777777" w:rsidR="005B7D8C" w:rsidRDefault="005B7D8C">
      <w:pPr>
        <w:rPr>
          <w:sz w:val="24"/>
          <w:szCs w:val="24"/>
        </w:rPr>
      </w:pPr>
    </w:p>
    <w:p w14:paraId="00000004" w14:textId="77777777" w:rsidR="005B7D8C" w:rsidRDefault="00000000">
      <w:pPr>
        <w:rPr>
          <w:sz w:val="24"/>
          <w:szCs w:val="24"/>
        </w:rPr>
      </w:pPr>
      <w:r>
        <w:rPr>
          <w:sz w:val="24"/>
          <w:szCs w:val="24"/>
        </w:rPr>
        <w:t xml:space="preserve">Homepage (index.html) </w:t>
      </w:r>
    </w:p>
    <w:p w14:paraId="00000005" w14:textId="77777777" w:rsidR="005B7D8C" w:rsidRDefault="00000000">
      <w:pPr>
        <w:rPr>
          <w:sz w:val="24"/>
          <w:szCs w:val="24"/>
        </w:rPr>
      </w:pPr>
      <w:r>
        <w:rPr>
          <w:sz w:val="24"/>
          <w:szCs w:val="24"/>
        </w:rPr>
        <w:br/>
        <w:t>Hero Section:</w:t>
      </w:r>
    </w:p>
    <w:p w14:paraId="00000006" w14:textId="77777777" w:rsidR="005B7D8C" w:rsidRDefault="00000000">
      <w:pPr>
        <w:numPr>
          <w:ilvl w:val="0"/>
          <w:numId w:val="4"/>
        </w:numPr>
        <w:rPr>
          <w:sz w:val="24"/>
          <w:szCs w:val="24"/>
        </w:rPr>
      </w:pPr>
      <w:r>
        <w:rPr>
          <w:sz w:val="24"/>
          <w:szCs w:val="24"/>
        </w:rPr>
        <w:t>Change H</w:t>
      </w:r>
      <w:r>
        <w:rPr>
          <w:rFonts w:ascii="Google Sans" w:eastAsia="Google Sans" w:hAnsi="Google Sans" w:cs="Google Sans"/>
          <w:sz w:val="24"/>
          <w:szCs w:val="24"/>
        </w:rPr>
        <w:t>ero text to: Reliable and Secure Gateway to the Greater Caspian Region</w:t>
      </w:r>
    </w:p>
    <w:p w14:paraId="00000007" w14:textId="77777777" w:rsidR="005B7D8C" w:rsidRDefault="00000000">
      <w:pPr>
        <w:numPr>
          <w:ilvl w:val="0"/>
          <w:numId w:val="4"/>
        </w:numPr>
        <w:ind w:right="600"/>
        <w:rPr>
          <w:rFonts w:ascii="Google Sans" w:eastAsia="Google Sans" w:hAnsi="Google Sans" w:cs="Google Sans"/>
          <w:sz w:val="24"/>
          <w:szCs w:val="24"/>
        </w:rPr>
      </w:pPr>
      <w:r>
        <w:rPr>
          <w:rFonts w:ascii="Google Sans" w:eastAsia="Google Sans" w:hAnsi="Google Sans" w:cs="Google Sans"/>
          <w:sz w:val="24"/>
          <w:szCs w:val="24"/>
        </w:rPr>
        <w:t>Change Sub-Hero text to: We combine direct government relationships and on-the-ground operations to give Western companies a clear, executable path into the GCR - one of the world's most active regions for Oil &amp; Gas, Critical Minerals, and trade infrastructure.</w:t>
      </w:r>
    </w:p>
    <w:p w14:paraId="00000008" w14:textId="77777777" w:rsidR="005B7D8C" w:rsidRDefault="00000000">
      <w:pPr>
        <w:numPr>
          <w:ilvl w:val="0"/>
          <w:numId w:val="4"/>
        </w:numPr>
        <w:spacing w:after="240"/>
        <w:ind w:right="600"/>
        <w:rPr>
          <w:rFonts w:ascii="Google Sans" w:eastAsia="Google Sans" w:hAnsi="Google Sans" w:cs="Google Sans"/>
          <w:sz w:val="24"/>
          <w:szCs w:val="24"/>
        </w:rPr>
      </w:pPr>
      <w:r>
        <w:rPr>
          <w:rFonts w:ascii="Google Sans" w:eastAsia="Google Sans" w:hAnsi="Google Sans" w:cs="Google Sans"/>
          <w:sz w:val="24"/>
          <w:szCs w:val="24"/>
        </w:rPr>
        <w:t>Change “Insights and expertise trusted by global institutions” to “Featured and cited by global institutions:”</w:t>
      </w:r>
    </w:p>
    <w:p w14:paraId="00000009" w14:textId="77777777" w:rsidR="005B7D8C" w:rsidRDefault="005B7D8C">
      <w:pPr>
        <w:spacing w:before="240" w:after="240"/>
        <w:ind w:left="720" w:right="600"/>
        <w:rPr>
          <w:rFonts w:ascii="Google Sans" w:eastAsia="Google Sans" w:hAnsi="Google Sans" w:cs="Google Sans"/>
          <w:sz w:val="24"/>
          <w:szCs w:val="24"/>
        </w:rPr>
      </w:pPr>
    </w:p>
    <w:p w14:paraId="0000000A" w14:textId="77777777" w:rsidR="005B7D8C" w:rsidRDefault="00000000">
      <w:pPr>
        <w:spacing w:before="240" w:after="240"/>
        <w:ind w:right="600"/>
        <w:rPr>
          <w:rFonts w:ascii="Google Sans" w:eastAsia="Google Sans" w:hAnsi="Google Sans" w:cs="Google Sans"/>
          <w:sz w:val="24"/>
          <w:szCs w:val="24"/>
        </w:rPr>
      </w:pPr>
      <w:r>
        <w:rPr>
          <w:rFonts w:ascii="Google Sans" w:eastAsia="Google Sans" w:hAnsi="Google Sans" w:cs="Google Sans"/>
          <w:sz w:val="24"/>
          <w:szCs w:val="24"/>
        </w:rPr>
        <w:t>The Power of the Network Section:</w:t>
      </w:r>
    </w:p>
    <w:p w14:paraId="0000000B" w14:textId="77777777" w:rsidR="005B7D8C" w:rsidRDefault="00000000">
      <w:pPr>
        <w:numPr>
          <w:ilvl w:val="0"/>
          <w:numId w:val="2"/>
        </w:numPr>
        <w:spacing w:before="240"/>
        <w:ind w:right="600"/>
        <w:rPr>
          <w:rFonts w:ascii="Google Sans" w:eastAsia="Google Sans" w:hAnsi="Google Sans" w:cs="Google Sans"/>
          <w:sz w:val="24"/>
          <w:szCs w:val="24"/>
        </w:rPr>
      </w:pPr>
      <w:r>
        <w:rPr>
          <w:rFonts w:ascii="Google Sans" w:eastAsia="Google Sans" w:hAnsi="Google Sans" w:cs="Google Sans"/>
          <w:sz w:val="24"/>
          <w:szCs w:val="24"/>
        </w:rPr>
        <w:t>Move “The Power of the Network” section and its metrics between the “Services” and “Case Studies” section.</w:t>
      </w:r>
    </w:p>
    <w:p w14:paraId="0000000C" w14:textId="77777777" w:rsidR="005B7D8C" w:rsidRDefault="00000000">
      <w:pPr>
        <w:numPr>
          <w:ilvl w:val="0"/>
          <w:numId w:val="2"/>
        </w:numPr>
        <w:spacing w:after="240"/>
        <w:ind w:right="600"/>
        <w:rPr>
          <w:sz w:val="24"/>
          <w:szCs w:val="24"/>
        </w:rPr>
      </w:pPr>
      <w:r>
        <w:rPr>
          <w:rFonts w:ascii="Google Sans" w:eastAsia="Google Sans" w:hAnsi="Google Sans" w:cs="Google Sans"/>
          <w:sz w:val="24"/>
          <w:szCs w:val="24"/>
        </w:rPr>
        <w:t>Change the descriptor for “10,000+ Partners” in the “Power of the Network” from “</w:t>
      </w:r>
      <w:r>
        <w:rPr>
          <w:color w:val="6B6B6B"/>
          <w:sz w:val="24"/>
          <w:szCs w:val="24"/>
        </w:rPr>
        <w:t>Verified database of local distributors, integrators, and B2G stakeholders.” to “</w:t>
      </w:r>
      <w:r>
        <w:rPr>
          <w:rFonts w:ascii="Google Sans" w:eastAsia="Google Sans" w:hAnsi="Google Sans" w:cs="Google Sans"/>
          <w:sz w:val="24"/>
          <w:szCs w:val="24"/>
        </w:rPr>
        <w:t>Network of local distributors, operators, and government stakeholders.”</w:t>
      </w:r>
    </w:p>
    <w:p w14:paraId="0000000D" w14:textId="77777777" w:rsidR="005B7D8C" w:rsidRDefault="00000000">
      <w:pPr>
        <w:spacing w:before="240" w:after="240"/>
        <w:ind w:right="600"/>
        <w:rPr>
          <w:rFonts w:ascii="Google Sans" w:eastAsia="Google Sans" w:hAnsi="Google Sans" w:cs="Google Sans"/>
          <w:sz w:val="24"/>
          <w:szCs w:val="24"/>
        </w:rPr>
      </w:pPr>
      <w:r>
        <w:rPr>
          <w:rFonts w:ascii="Google Sans" w:eastAsia="Google Sans" w:hAnsi="Google Sans" w:cs="Google Sans"/>
          <w:sz w:val="24"/>
          <w:szCs w:val="24"/>
        </w:rPr>
        <w:t>“Services” section:</w:t>
      </w:r>
    </w:p>
    <w:p w14:paraId="61D7C5F3" w14:textId="3F5BE04C" w:rsidR="0024020B" w:rsidRDefault="0024020B">
      <w:pPr>
        <w:spacing w:before="240" w:after="240"/>
        <w:ind w:right="600"/>
        <w:rPr>
          <w:rFonts w:ascii="Google Sans" w:eastAsia="Google Sans" w:hAnsi="Google Sans" w:cs="Google Sans"/>
          <w:sz w:val="24"/>
          <w:szCs w:val="24"/>
        </w:rPr>
      </w:pPr>
      <w:r>
        <w:rPr>
          <w:rFonts w:ascii="Google Sans" w:eastAsia="Google Sans" w:hAnsi="Google Sans" w:cs="Google Sans"/>
          <w:sz w:val="24"/>
          <w:szCs w:val="24"/>
        </w:rPr>
        <w:t>1. Change the Service Cards Icons to the icons provided in assets/logos/Services folder. The icons are provided in both PNG folder and SVG folder. Use whichever is appropriate.</w:t>
      </w:r>
    </w:p>
    <w:p w14:paraId="0000000E" w14:textId="276F4A8E" w:rsidR="005B7D8C" w:rsidRDefault="0024020B">
      <w:pPr>
        <w:spacing w:before="240" w:after="240"/>
        <w:ind w:right="600"/>
        <w:rPr>
          <w:rFonts w:ascii="Google Sans" w:eastAsia="Google Sans" w:hAnsi="Google Sans" w:cs="Google Sans"/>
          <w:sz w:val="24"/>
          <w:szCs w:val="24"/>
        </w:rPr>
      </w:pPr>
      <w:r>
        <w:rPr>
          <w:rFonts w:ascii="Google Sans" w:eastAsia="Google Sans" w:hAnsi="Google Sans" w:cs="Google Sans"/>
          <w:sz w:val="24"/>
          <w:szCs w:val="24"/>
        </w:rPr>
        <w:t xml:space="preserve">2. </w:t>
      </w:r>
      <w:r w:rsidR="00000000">
        <w:rPr>
          <w:rFonts w:ascii="Google Sans" w:eastAsia="Google Sans" w:hAnsi="Google Sans" w:cs="Google Sans"/>
          <w:sz w:val="24"/>
          <w:szCs w:val="24"/>
        </w:rPr>
        <w:t>Change the services cards Titles and descriptors to the following. Also visit that service’s page and change the Hero text and sub text to the following. The services card and the page to associated service must have the same text:</w:t>
      </w:r>
    </w:p>
    <w:p w14:paraId="0000000F"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1. Market Entry &amp; GTM Strategy</w:t>
      </w:r>
    </w:p>
    <w:p w14:paraId="00000010"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lastRenderedPageBreak/>
        <w:t>Description: We turn the region's uncertainty into a calculated investment plan and a step-by-step market entry strategy.</w:t>
      </w:r>
    </w:p>
    <w:p w14:paraId="00000011"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2. Market Presence Infrastructure (GCR Deployment Teams)</w:t>
      </w:r>
      <w:r>
        <w:rPr>
          <w:rFonts w:ascii="Google Sans" w:eastAsia="Google Sans" w:hAnsi="Google Sans" w:cs="Google Sans"/>
          <w:sz w:val="24"/>
          <w:szCs w:val="24"/>
        </w:rPr>
        <w:br/>
        <w:t>Description: A fully operational commercial presence in the region from day one - without registering a legal entity or committing capital.</w:t>
      </w:r>
    </w:p>
    <w:p w14:paraId="00000012"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3. Strategic Partner Search &amp; Stakeholder Access</w:t>
      </w:r>
    </w:p>
    <w:p w14:paraId="00000013"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Description: We find the right partner, verify they are who they say they are, and open doors that don't respond to cold calls.</w:t>
      </w:r>
    </w:p>
    <w:p w14:paraId="00000014"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4. Capital Access &amp; Global Expansion</w:t>
      </w:r>
    </w:p>
    <w:p w14:paraId="00000015"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 xml:space="preserve">Description: We connect GCR-based businesses to sovereign funds, institutional investors, and strategic capital across global financial </w:t>
      </w:r>
      <w:proofErr w:type="spellStart"/>
      <w:r>
        <w:rPr>
          <w:rFonts w:ascii="Google Sans" w:eastAsia="Google Sans" w:hAnsi="Google Sans" w:cs="Google Sans"/>
          <w:sz w:val="24"/>
          <w:szCs w:val="24"/>
        </w:rPr>
        <w:t>centres</w:t>
      </w:r>
      <w:proofErr w:type="spellEnd"/>
      <w:r>
        <w:rPr>
          <w:rFonts w:ascii="Google Sans" w:eastAsia="Google Sans" w:hAnsi="Google Sans" w:cs="Google Sans"/>
          <w:sz w:val="24"/>
          <w:szCs w:val="24"/>
        </w:rPr>
        <w:t>.</w:t>
      </w:r>
    </w:p>
    <w:p w14:paraId="00000016"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5. Negotiation Mastery &amp; Channel Performance</w:t>
      </w:r>
    </w:p>
    <w:p w14:paraId="00000017"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Description: We unblock stalled deals and turn opaque distribution networks into transparent, accountable revenue operations.</w:t>
      </w:r>
    </w:p>
    <w:p w14:paraId="00000018"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6. Corporate Structuring &amp; Fiscal Governance</w:t>
      </w:r>
      <w:r>
        <w:rPr>
          <w:rFonts w:ascii="Google Sans" w:eastAsia="Google Sans" w:hAnsi="Google Sans" w:cs="Google Sans"/>
          <w:sz w:val="24"/>
          <w:szCs w:val="24"/>
        </w:rPr>
        <w:br/>
        <w:t>Description: We design the legal and tax structure of your GCR business so that profits move freely, liabilities stay local, and regulators have nothing to question.</w:t>
      </w:r>
    </w:p>
    <w:p w14:paraId="00000019"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7. Industrial Footprint &amp; Supply Chain Architecture</w:t>
      </w:r>
      <w:r>
        <w:rPr>
          <w:rFonts w:ascii="Google Sans" w:eastAsia="Google Sans" w:hAnsi="Google Sans" w:cs="Google Sans"/>
          <w:sz w:val="24"/>
          <w:szCs w:val="24"/>
        </w:rPr>
        <w:br/>
        <w:t>Description: We get your facility built, your logistics running, and your supply chain operational - on time, within budget, without surprises.</w:t>
      </w:r>
    </w:p>
    <w:p w14:paraId="0000001A"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8. Market Access &amp; Regulatory Compliance</w:t>
      </w:r>
      <w:r>
        <w:rPr>
          <w:rFonts w:ascii="Google Sans" w:eastAsia="Google Sans" w:hAnsi="Google Sans" w:cs="Google Sans"/>
          <w:sz w:val="24"/>
          <w:szCs w:val="24"/>
        </w:rPr>
        <w:br/>
        <w:t>Description: We get your product legally cleared for sale in GCR markets - and keep it that way as regulations change.</w:t>
      </w:r>
    </w:p>
    <w:p w14:paraId="0000001B"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9. M&amp;A Lifecycle &amp; Capital Allocation</w:t>
      </w:r>
    </w:p>
    <w:p w14:paraId="0000001C"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Description: We find assets that are not publicly listed for sale, verify they are what they appear to be, and guide the transaction through to a close that holds.</w:t>
      </w:r>
    </w:p>
    <w:p w14:paraId="0000001D"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10. Digital Ecosystems &amp; Innovation Sourcing</w:t>
      </w:r>
    </w:p>
    <w:p w14:paraId="0000001E"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Description: We get your products selling on the platforms that dominate regional commerce - and find local technology solutions that work where Western vendors don't.</w:t>
      </w:r>
    </w:p>
    <w:p w14:paraId="0000001F"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t>11. Corporate Governance, Integrity &amp; Fiduciary Shield</w:t>
      </w:r>
    </w:p>
    <w:p w14:paraId="00000020" w14:textId="77777777" w:rsidR="005B7D8C" w:rsidRDefault="00000000">
      <w:pPr>
        <w:spacing w:before="120" w:after="120"/>
        <w:ind w:left="720"/>
        <w:rPr>
          <w:rFonts w:ascii="Google Sans" w:eastAsia="Google Sans" w:hAnsi="Google Sans" w:cs="Google Sans"/>
          <w:sz w:val="24"/>
          <w:szCs w:val="24"/>
        </w:rPr>
      </w:pPr>
      <w:r>
        <w:rPr>
          <w:rFonts w:ascii="Google Sans" w:eastAsia="Google Sans" w:hAnsi="Google Sans" w:cs="Google Sans"/>
          <w:sz w:val="24"/>
          <w:szCs w:val="24"/>
        </w:rPr>
        <w:lastRenderedPageBreak/>
        <w:t>Description: We protect foreign shareholders from fraud, misappropriation, and governance failures - and build the systems that prevent them from recurring.</w:t>
      </w:r>
    </w:p>
    <w:p w14:paraId="00000021" w14:textId="77777777" w:rsidR="005B7D8C" w:rsidRDefault="00000000">
      <w:pPr>
        <w:spacing w:before="120"/>
        <w:ind w:left="720"/>
        <w:rPr>
          <w:rFonts w:ascii="Google Sans" w:eastAsia="Google Sans" w:hAnsi="Google Sans" w:cs="Google Sans"/>
          <w:sz w:val="24"/>
          <w:szCs w:val="24"/>
        </w:rPr>
      </w:pPr>
      <w:r>
        <w:rPr>
          <w:rFonts w:ascii="Google Sans" w:eastAsia="Google Sans" w:hAnsi="Google Sans" w:cs="Google Sans"/>
          <w:sz w:val="24"/>
          <w:szCs w:val="24"/>
        </w:rPr>
        <w:t>12. Litigation &amp; Crisis Turnaround</w:t>
      </w:r>
    </w:p>
    <w:p w14:paraId="00000022" w14:textId="77777777" w:rsidR="005B7D8C" w:rsidRDefault="00000000">
      <w:pPr>
        <w:spacing w:before="120"/>
        <w:ind w:left="720"/>
        <w:rPr>
          <w:rFonts w:ascii="Google Sans" w:eastAsia="Google Sans" w:hAnsi="Google Sans" w:cs="Google Sans"/>
          <w:sz w:val="24"/>
          <w:szCs w:val="24"/>
        </w:rPr>
      </w:pPr>
      <w:r>
        <w:rPr>
          <w:rFonts w:ascii="Google Sans" w:eastAsia="Google Sans" w:hAnsi="Google Sans" w:cs="Google Sans"/>
          <w:sz w:val="24"/>
          <w:szCs w:val="24"/>
        </w:rPr>
        <w:t>Description: When your business is under active threat, we take control of the situation, protect what matters, and find a way through.</w:t>
      </w:r>
    </w:p>
    <w:p w14:paraId="44B10341" w14:textId="77777777" w:rsidR="0024020B" w:rsidRDefault="0024020B" w:rsidP="0024020B">
      <w:pPr>
        <w:spacing w:before="120"/>
        <w:rPr>
          <w:rFonts w:ascii="Google Sans" w:eastAsia="Google Sans" w:hAnsi="Google Sans" w:cs="Google Sans"/>
          <w:sz w:val="24"/>
          <w:szCs w:val="24"/>
        </w:rPr>
      </w:pPr>
    </w:p>
    <w:p w14:paraId="281D7336" w14:textId="482D2ED7" w:rsidR="0024020B" w:rsidRDefault="0024020B" w:rsidP="0024020B">
      <w:pPr>
        <w:spacing w:before="120"/>
        <w:rPr>
          <w:rFonts w:ascii="Google Sans" w:eastAsia="Google Sans" w:hAnsi="Google Sans" w:cs="Google Sans"/>
          <w:sz w:val="24"/>
          <w:szCs w:val="24"/>
        </w:rPr>
      </w:pPr>
      <w:r>
        <w:rPr>
          <w:rFonts w:ascii="Google Sans" w:eastAsia="Google Sans" w:hAnsi="Google Sans" w:cs="Google Sans"/>
          <w:sz w:val="24"/>
          <w:szCs w:val="24"/>
        </w:rPr>
        <w:t>Case Studies Section:</w:t>
      </w:r>
    </w:p>
    <w:p w14:paraId="065E0FD8" w14:textId="15DAF238" w:rsidR="0024020B" w:rsidRDefault="0024020B" w:rsidP="0024020B">
      <w:pPr>
        <w:spacing w:before="120"/>
        <w:rPr>
          <w:rFonts w:ascii="Google Sans" w:eastAsia="Google Sans" w:hAnsi="Google Sans" w:cs="Google Sans"/>
          <w:sz w:val="24"/>
          <w:szCs w:val="24"/>
        </w:rPr>
      </w:pPr>
      <w:r>
        <w:rPr>
          <w:rFonts w:ascii="Google Sans" w:eastAsia="Google Sans" w:hAnsi="Google Sans" w:cs="Google Sans"/>
          <w:sz w:val="24"/>
          <w:szCs w:val="24"/>
        </w:rPr>
        <w:t>1. The Case studies UI element is slightly buggy. When a case study is clicked, the previous case study doesn’t collapse smoothly, rather it collapses in two steps. It becomes a smaller rectangle, and then the final state of a thin strip. It should directly collapse into a thin strip smoothly.</w:t>
      </w:r>
    </w:p>
    <w:p w14:paraId="39119506" w14:textId="327B2EC0" w:rsidR="0024020B" w:rsidRDefault="0024020B" w:rsidP="0024020B">
      <w:pPr>
        <w:spacing w:before="120"/>
        <w:rPr>
          <w:rFonts w:ascii="Google Sans" w:eastAsia="Google Sans" w:hAnsi="Google Sans" w:cs="Google Sans"/>
          <w:sz w:val="24"/>
          <w:szCs w:val="24"/>
        </w:rPr>
      </w:pPr>
      <w:r>
        <w:rPr>
          <w:rFonts w:ascii="Google Sans" w:eastAsia="Google Sans" w:hAnsi="Google Sans" w:cs="Google Sans"/>
          <w:sz w:val="24"/>
          <w:szCs w:val="24"/>
        </w:rPr>
        <w:t xml:space="preserve">2. The Case Study number 5 on the homepage does not have an image. </w:t>
      </w:r>
    </w:p>
    <w:p w14:paraId="3CCD8335" w14:textId="77777777" w:rsidR="0024020B" w:rsidRDefault="0024020B" w:rsidP="0024020B">
      <w:pPr>
        <w:spacing w:before="120"/>
        <w:rPr>
          <w:rFonts w:ascii="Google Sans" w:eastAsia="Google Sans" w:hAnsi="Google Sans" w:cs="Google Sans"/>
          <w:sz w:val="24"/>
          <w:szCs w:val="24"/>
        </w:rPr>
      </w:pPr>
    </w:p>
    <w:p w14:paraId="00000023" w14:textId="77777777" w:rsidR="005B7D8C" w:rsidRDefault="00000000">
      <w:pPr>
        <w:spacing w:before="120"/>
        <w:rPr>
          <w:rFonts w:ascii="Google Sans" w:eastAsia="Google Sans" w:hAnsi="Google Sans" w:cs="Google Sans"/>
          <w:sz w:val="24"/>
          <w:szCs w:val="24"/>
        </w:rPr>
      </w:pPr>
      <w:r>
        <w:rPr>
          <w:rFonts w:ascii="Google Sans" w:eastAsia="Google Sans" w:hAnsi="Google Sans" w:cs="Google Sans"/>
          <w:sz w:val="24"/>
          <w:szCs w:val="24"/>
        </w:rPr>
        <w:t xml:space="preserve">Footer Section: </w:t>
      </w:r>
    </w:p>
    <w:p w14:paraId="00000024" w14:textId="77777777" w:rsidR="005B7D8C" w:rsidRDefault="00000000">
      <w:pPr>
        <w:spacing w:before="120"/>
        <w:rPr>
          <w:rFonts w:ascii="Google Sans" w:eastAsia="Google Sans" w:hAnsi="Google Sans" w:cs="Google Sans"/>
          <w:sz w:val="24"/>
          <w:szCs w:val="24"/>
        </w:rPr>
      </w:pPr>
      <w:r>
        <w:rPr>
          <w:rFonts w:ascii="Google Sans" w:eastAsia="Google Sans" w:hAnsi="Google Sans" w:cs="Google Sans"/>
          <w:sz w:val="24"/>
          <w:szCs w:val="24"/>
        </w:rPr>
        <w:t>Add the following info to the footer:</w:t>
      </w:r>
    </w:p>
    <w:p w14:paraId="00000025" w14:textId="77777777" w:rsidR="005B7D8C" w:rsidRDefault="00000000">
      <w:pPr>
        <w:spacing w:before="240" w:after="240"/>
        <w:ind w:left="600" w:right="600"/>
        <w:rPr>
          <w:rFonts w:ascii="Google Sans" w:eastAsia="Google Sans" w:hAnsi="Google Sans" w:cs="Google Sans"/>
          <w:sz w:val="24"/>
          <w:szCs w:val="24"/>
        </w:rPr>
      </w:pPr>
      <w:r>
        <w:rPr>
          <w:rFonts w:ascii="Google Sans" w:eastAsia="Google Sans" w:hAnsi="Google Sans" w:cs="Google Sans"/>
          <w:sz w:val="24"/>
          <w:szCs w:val="24"/>
        </w:rPr>
        <w:t>Company Name: Swiss Project Development Company SA</w:t>
      </w:r>
    </w:p>
    <w:p w14:paraId="00000026" w14:textId="77777777" w:rsidR="005B7D8C" w:rsidRDefault="00000000">
      <w:pPr>
        <w:spacing w:before="240" w:after="240"/>
        <w:ind w:left="600" w:right="600"/>
        <w:rPr>
          <w:rFonts w:ascii="Google Sans" w:eastAsia="Google Sans" w:hAnsi="Google Sans" w:cs="Google Sans"/>
          <w:sz w:val="24"/>
          <w:szCs w:val="24"/>
        </w:rPr>
      </w:pPr>
      <w:r>
        <w:rPr>
          <w:rFonts w:ascii="Google Sans" w:eastAsia="Google Sans" w:hAnsi="Google Sans" w:cs="Google Sans"/>
          <w:sz w:val="24"/>
          <w:szCs w:val="24"/>
        </w:rPr>
        <w:t>Offices:</w:t>
      </w:r>
    </w:p>
    <w:p w14:paraId="00000027" w14:textId="77777777" w:rsidR="005B7D8C" w:rsidRDefault="00000000">
      <w:pPr>
        <w:numPr>
          <w:ilvl w:val="0"/>
          <w:numId w:val="3"/>
        </w:numPr>
        <w:spacing w:before="240" w:after="240"/>
        <w:ind w:left="1320" w:right="600"/>
        <w:rPr>
          <w:sz w:val="24"/>
          <w:szCs w:val="24"/>
        </w:rPr>
      </w:pPr>
      <w:r>
        <w:rPr>
          <w:rFonts w:ascii="Google Sans" w:eastAsia="Google Sans" w:hAnsi="Google Sans" w:cs="Google Sans"/>
          <w:sz w:val="24"/>
          <w:szCs w:val="24"/>
        </w:rPr>
        <w:t>Geneva: Via Pico 12, 6900 Lugano, Switzerland</w:t>
      </w:r>
    </w:p>
    <w:p w14:paraId="00000028" w14:textId="77777777" w:rsidR="005B7D8C" w:rsidRDefault="00000000">
      <w:pPr>
        <w:spacing w:before="240" w:after="240"/>
        <w:ind w:left="600" w:right="600"/>
        <w:rPr>
          <w:rFonts w:ascii="Google Sans" w:eastAsia="Google Sans" w:hAnsi="Google Sans" w:cs="Google Sans"/>
          <w:sz w:val="24"/>
          <w:szCs w:val="24"/>
        </w:rPr>
      </w:pPr>
      <w:r>
        <w:rPr>
          <w:rFonts w:ascii="Google Sans" w:eastAsia="Google Sans" w:hAnsi="Google Sans" w:cs="Google Sans"/>
          <w:sz w:val="24"/>
          <w:szCs w:val="24"/>
        </w:rPr>
        <w:t>Navigation:</w:t>
      </w:r>
    </w:p>
    <w:p w14:paraId="00000029" w14:textId="77777777" w:rsidR="005B7D8C" w:rsidRDefault="00000000">
      <w:pPr>
        <w:numPr>
          <w:ilvl w:val="0"/>
          <w:numId w:val="1"/>
        </w:numPr>
        <w:spacing w:before="240"/>
        <w:ind w:left="1320" w:right="600"/>
        <w:rPr>
          <w:rFonts w:ascii="Google Sans" w:eastAsia="Google Sans" w:hAnsi="Google Sans" w:cs="Google Sans"/>
          <w:sz w:val="24"/>
          <w:szCs w:val="24"/>
        </w:rPr>
      </w:pPr>
      <w:r>
        <w:rPr>
          <w:rFonts w:ascii="Google Sans" w:eastAsia="Google Sans" w:hAnsi="Google Sans" w:cs="Google Sans"/>
          <w:sz w:val="24"/>
          <w:szCs w:val="24"/>
        </w:rPr>
        <w:t>Services</w:t>
      </w:r>
    </w:p>
    <w:p w14:paraId="0000002A" w14:textId="77777777" w:rsidR="005B7D8C" w:rsidRDefault="00000000">
      <w:pPr>
        <w:numPr>
          <w:ilvl w:val="0"/>
          <w:numId w:val="1"/>
        </w:numPr>
        <w:ind w:left="1320" w:right="600"/>
        <w:rPr>
          <w:rFonts w:ascii="Google Sans" w:eastAsia="Google Sans" w:hAnsi="Google Sans" w:cs="Google Sans"/>
          <w:sz w:val="24"/>
          <w:szCs w:val="24"/>
        </w:rPr>
      </w:pPr>
      <w:r>
        <w:rPr>
          <w:rFonts w:ascii="Google Sans" w:eastAsia="Google Sans" w:hAnsi="Google Sans" w:cs="Google Sans"/>
          <w:sz w:val="24"/>
          <w:szCs w:val="24"/>
        </w:rPr>
        <w:t>Industries</w:t>
      </w:r>
    </w:p>
    <w:p w14:paraId="0000002B" w14:textId="77777777" w:rsidR="005B7D8C" w:rsidRDefault="00000000">
      <w:pPr>
        <w:numPr>
          <w:ilvl w:val="0"/>
          <w:numId w:val="1"/>
        </w:numPr>
        <w:ind w:left="1320" w:right="600"/>
        <w:rPr>
          <w:rFonts w:ascii="Google Sans" w:eastAsia="Google Sans" w:hAnsi="Google Sans" w:cs="Google Sans"/>
          <w:sz w:val="24"/>
          <w:szCs w:val="24"/>
        </w:rPr>
      </w:pPr>
      <w:r>
        <w:rPr>
          <w:rFonts w:ascii="Google Sans" w:eastAsia="Google Sans" w:hAnsi="Google Sans" w:cs="Google Sans"/>
          <w:sz w:val="24"/>
          <w:szCs w:val="24"/>
        </w:rPr>
        <w:t>Insights &amp; Reports</w:t>
      </w:r>
    </w:p>
    <w:p w14:paraId="0000002C" w14:textId="77777777" w:rsidR="005B7D8C" w:rsidRDefault="00000000">
      <w:pPr>
        <w:numPr>
          <w:ilvl w:val="0"/>
          <w:numId w:val="1"/>
        </w:numPr>
        <w:ind w:left="1320" w:right="600"/>
        <w:rPr>
          <w:rFonts w:ascii="Google Sans" w:eastAsia="Google Sans" w:hAnsi="Google Sans" w:cs="Google Sans"/>
          <w:sz w:val="24"/>
          <w:szCs w:val="24"/>
        </w:rPr>
      </w:pPr>
      <w:r>
        <w:rPr>
          <w:rFonts w:ascii="Google Sans" w:eastAsia="Google Sans" w:hAnsi="Google Sans" w:cs="Google Sans"/>
          <w:sz w:val="24"/>
          <w:szCs w:val="24"/>
        </w:rPr>
        <w:t>About Us</w:t>
      </w:r>
    </w:p>
    <w:p w14:paraId="0000002D" w14:textId="77777777" w:rsidR="005B7D8C" w:rsidRDefault="00000000">
      <w:pPr>
        <w:numPr>
          <w:ilvl w:val="0"/>
          <w:numId w:val="1"/>
        </w:numPr>
        <w:spacing w:after="240"/>
        <w:ind w:left="1320" w:right="600"/>
        <w:rPr>
          <w:rFonts w:ascii="Google Sans" w:eastAsia="Google Sans" w:hAnsi="Google Sans" w:cs="Google Sans"/>
          <w:sz w:val="24"/>
          <w:szCs w:val="24"/>
        </w:rPr>
      </w:pPr>
      <w:r>
        <w:rPr>
          <w:rFonts w:ascii="Google Sans" w:eastAsia="Google Sans" w:hAnsi="Google Sans" w:cs="Google Sans"/>
          <w:sz w:val="24"/>
          <w:szCs w:val="24"/>
        </w:rPr>
        <w:t>Readiness Check</w:t>
      </w:r>
    </w:p>
    <w:p w14:paraId="0000002E" w14:textId="77777777" w:rsidR="005B7D8C" w:rsidRDefault="005B7D8C">
      <w:pPr>
        <w:spacing w:before="120"/>
        <w:rPr>
          <w:rFonts w:ascii="Google Sans" w:eastAsia="Google Sans" w:hAnsi="Google Sans" w:cs="Google Sans"/>
          <w:sz w:val="24"/>
          <w:szCs w:val="24"/>
        </w:rPr>
      </w:pPr>
    </w:p>
    <w:p w14:paraId="0000002F" w14:textId="77777777" w:rsidR="005B7D8C" w:rsidRDefault="00000000">
      <w:pPr>
        <w:spacing w:before="120"/>
        <w:rPr>
          <w:rFonts w:ascii="Google Sans" w:eastAsia="Google Sans" w:hAnsi="Google Sans" w:cs="Google Sans"/>
          <w:sz w:val="24"/>
          <w:szCs w:val="24"/>
        </w:rPr>
      </w:pPr>
      <w:r>
        <w:rPr>
          <w:rFonts w:ascii="Google Sans" w:eastAsia="Google Sans" w:hAnsi="Google Sans" w:cs="Google Sans"/>
          <w:sz w:val="24"/>
          <w:szCs w:val="24"/>
        </w:rPr>
        <w:t xml:space="preserve">Final Page ordering: </w:t>
      </w:r>
    </w:p>
    <w:p w14:paraId="00000030" w14:textId="77777777" w:rsidR="005B7D8C" w:rsidRDefault="00000000">
      <w:pPr>
        <w:spacing w:before="120"/>
        <w:rPr>
          <w:rFonts w:ascii="Google Sans" w:eastAsia="Google Sans" w:hAnsi="Google Sans" w:cs="Google Sans"/>
          <w:sz w:val="24"/>
          <w:szCs w:val="24"/>
        </w:rPr>
      </w:pPr>
      <w:r>
        <w:rPr>
          <w:rFonts w:ascii="Google Sans" w:eastAsia="Google Sans" w:hAnsi="Google Sans" w:cs="Google Sans"/>
          <w:sz w:val="24"/>
          <w:szCs w:val="24"/>
        </w:rPr>
        <w:t>Move the Leadership section above the Case Studies Section. The final order should be: Hero Content, “</w:t>
      </w:r>
      <w:r>
        <w:rPr>
          <w:color w:val="1B2A4A"/>
          <w:sz w:val="24"/>
          <w:szCs w:val="24"/>
        </w:rPr>
        <w:t xml:space="preserve">The world's next strategic intersection…” section, Services, “The </w:t>
      </w:r>
      <w:r>
        <w:rPr>
          <w:color w:val="1B2A4A"/>
          <w:sz w:val="24"/>
          <w:szCs w:val="24"/>
        </w:rPr>
        <w:lastRenderedPageBreak/>
        <w:t xml:space="preserve">power of the network” section, Leadership section, Case Studies, “Is your Business </w:t>
      </w:r>
      <w:proofErr w:type="gramStart"/>
      <w:r>
        <w:rPr>
          <w:color w:val="1B2A4A"/>
          <w:sz w:val="24"/>
          <w:szCs w:val="24"/>
        </w:rPr>
        <w:t>Ready..</w:t>
      </w:r>
      <w:proofErr w:type="gramEnd"/>
      <w:r>
        <w:rPr>
          <w:color w:val="1B2A4A"/>
          <w:sz w:val="24"/>
          <w:szCs w:val="24"/>
        </w:rPr>
        <w:t>” section, Talk to Us, Footer.</w:t>
      </w:r>
    </w:p>
    <w:sectPr w:rsidR="005B7D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EEDA66C-9825-7A48-9044-2F30444DCF25}"/>
  </w:font>
  <w:font w:name="Arial">
    <w:panose1 w:val="020B0604020202020204"/>
    <w:charset w:val="00"/>
    <w:family w:val="swiss"/>
    <w:pitch w:val="variable"/>
    <w:sig w:usb0="E0002AFF" w:usb1="C0007843" w:usb2="00000009" w:usb3="00000000" w:csb0="000001FF" w:csb1="00000000"/>
    <w:embedRegular r:id="rId2" w:fontKey="{34AF9DAE-ADD4-E946-B572-5AD03655D56A}"/>
    <w:embedItalic r:id="rId3" w:fontKey="{DBDD0AF4-3D5A-4149-9739-C24B71A20C26}"/>
  </w:font>
  <w:font w:name="Google Sans">
    <w:charset w:val="00"/>
    <w:family w:val="auto"/>
    <w:pitch w:val="default"/>
    <w:embedRegular r:id="rId4" w:fontKey="{083208FF-0025-4748-96F0-A6327546EC86}"/>
  </w:font>
  <w:font w:name="Calibri">
    <w:panose1 w:val="020F0502020204030204"/>
    <w:charset w:val="00"/>
    <w:family w:val="modern"/>
    <w:pitch w:val="variable"/>
    <w:sig w:usb0="00000003" w:usb1="00000000" w:usb2="00000000" w:usb3="00000000" w:csb0="00000001" w:csb1="00000000"/>
    <w:embedRegular r:id="rId5" w:fontKey="{63505967-5625-8B40-92AB-88D61A538EA4}"/>
  </w:font>
  <w:font w:name="Cambria">
    <w:panose1 w:val="02040503050406030204"/>
    <w:charset w:val="00"/>
    <w:family w:val="roman"/>
    <w:notTrueType/>
    <w:pitch w:val="default"/>
    <w:embedRegular r:id="rId6" w:fontKey="{A43C77FF-DFE9-4D42-BD16-D0C9BFD952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2409"/>
    <w:multiLevelType w:val="multilevel"/>
    <w:tmpl w:val="3E50E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3F3CFC"/>
    <w:multiLevelType w:val="multilevel"/>
    <w:tmpl w:val="7C2E5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AAD230A"/>
    <w:multiLevelType w:val="multilevel"/>
    <w:tmpl w:val="ED580C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88849FE"/>
    <w:multiLevelType w:val="multilevel"/>
    <w:tmpl w:val="C04EF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1356735">
    <w:abstractNumId w:val="0"/>
  </w:num>
  <w:num w:numId="2" w16cid:durableId="1113472869">
    <w:abstractNumId w:val="2"/>
  </w:num>
  <w:num w:numId="3" w16cid:durableId="936016076">
    <w:abstractNumId w:val="3"/>
  </w:num>
  <w:num w:numId="4" w16cid:durableId="1637487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D8C"/>
    <w:rsid w:val="0024020B"/>
    <w:rsid w:val="005B7D8C"/>
    <w:rsid w:val="00C86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3FC97D"/>
  <w15:docId w15:val="{9DD620B0-63D3-CE40-831A-856B66F1A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402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701</Words>
  <Characters>3999</Characters>
  <Application>Microsoft Office Word</Application>
  <DocSecurity>0</DocSecurity>
  <Lines>33</Lines>
  <Paragraphs>9</Paragraphs>
  <ScaleCrop>false</ScaleCrop>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Shreyash</cp:lastModifiedBy>
  <cp:revision>2</cp:revision>
  <dcterms:created xsi:type="dcterms:W3CDTF">2026-03-22T09:33:00Z</dcterms:created>
  <dcterms:modified xsi:type="dcterms:W3CDTF">2026-03-22T09:40:00Z</dcterms:modified>
</cp:coreProperties>
</file>