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9fbxgclmmg9r" w:id="0"/>
      <w:bookmarkEnd w:id="0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Block 1. Hero Section: The GCR Radar - 1 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Ai News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23aqwe3sxug" w:id="1"/>
      <w:bookmarkEnd w:id="1"/>
      <w:r w:rsidDel="00000000" w:rsidR="00000000" w:rsidRPr="00000000">
        <w:rPr>
          <w:sz w:val="22"/>
          <w:szCs w:val="22"/>
          <w:rtl w:val="0"/>
        </w:rPr>
        <w:t xml:space="preserve">Insights shaping the Greater Caspian Region and defining its next phase of growth. We analyze the signals behind policy shifts, capital flows, and strategic partnerships - so you can move with clarity and confidence.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