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czijotflhk21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1. Hero - 1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Clear positioning without marketing fluff. We sell "Access" and "Security" for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Text: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Reliable, Sustainable and</w:t>
      </w:r>
      <w:r w:rsidDel="00000000" w:rsidR="00000000" w:rsidRPr="00000000">
        <w:rPr>
          <w:b w:val="1"/>
          <w:bCs w:val="1"/>
          <w:rtl w:val="0"/>
        </w:rPr>
        <w:t xml:space="preserve"> Secure Gateway to the Greater Caspian Region.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We transform the GCR’s opacity into operational clarity for Western capital. By combining sovereign-level access with on-the-ground execution, we de-risk market entry into the world’s most critical emerging </w:t>
      </w:r>
      <w:r w:rsidDel="00000000" w:rsidR="00000000" w:rsidRPr="00000000">
        <w:rPr>
          <w:rtl w:val="0"/>
        </w:rPr>
        <w:t xml:space="preserve">Oil and Gas, Critical Minerals and Logistics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240" w:before="24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[Primary Button]: </w:t>
      </w:r>
      <w:r w:rsidDel="00000000" w:rsidR="00000000" w:rsidRPr="00000000">
        <w:rPr>
          <w:b w:val="1"/>
          <w:bCs w:val="1"/>
          <w:rtl w:val="0"/>
        </w:rPr>
        <w:t xml:space="preserve">Partner with Us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wfni9bs5gp0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2. In the press (Trust Bar: WEF/UN) - 3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Remove the cognitive barrier "Who are these people?". Association with global institutions creates a presumption of competence.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UX Specs: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Placement:</w:t>
      </w:r>
      <w:r w:rsidDel="00000000" w:rsidR="00000000" w:rsidRPr="00000000">
        <w:rPr>
          <w:i w:val="1"/>
          <w:iCs w:val="1"/>
          <w:rtl w:val="0"/>
        </w:rPr>
        <w:t xml:space="preserve"> Strictly above the fold or immediately below it.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Visuals:</w:t>
      </w:r>
      <w:r w:rsidDel="00000000" w:rsidR="00000000" w:rsidRPr="00000000">
        <w:rPr>
          <w:i w:val="1"/>
          <w:iCs w:val="1"/>
          <w:rtl w:val="0"/>
        </w:rPr>
        <w:t xml:space="preserve"> Monochrome (Greyscale) logos with 50% opacity. On hover, they become colored (100% opacity).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Logos:</w:t>
      </w:r>
    </w:p>
    <w:p w:rsidR="00000000" w:rsidDel="00000000" w:rsidP="00000000" w:rsidRDefault="00000000" w:rsidRPr="00000000" w14:paraId="0000000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World Economic Forum (Davos)</w:t>
      </w:r>
    </w:p>
    <w:p w:rsidR="00000000" w:rsidDel="00000000" w:rsidP="00000000" w:rsidRDefault="00000000" w:rsidRPr="00000000" w14:paraId="0000001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United Nations (UN)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FIATA (International Federation of Freight Forwarders Associations)</w:t>
      </w:r>
    </w:p>
    <w:p w:rsidR="00000000" w:rsidDel="00000000" w:rsidP="00000000" w:rsidRDefault="00000000" w:rsidRPr="00000000" w14:paraId="0000001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ICC (International Chamber of Commerce)</w:t>
      </w:r>
    </w:p>
    <w:p w:rsidR="00000000" w:rsidDel="00000000" w:rsidP="00000000" w:rsidRDefault="00000000" w:rsidRPr="00000000" w14:paraId="0000001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Forbes / Bloomberg (if there were mentions, or Fortune 500 level client logos).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 (Small surtitle):</w:t>
      </w:r>
      <w:r w:rsidDel="00000000" w:rsidR="00000000" w:rsidRPr="00000000">
        <w:rPr>
          <w:i w:val="1"/>
          <w:iCs w:val="1"/>
          <w:rtl w:val="0"/>
        </w:rPr>
        <w:t xml:space="preserve"> Insights and expertise trusted by global institutions: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9k9lky503gx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3. Why GCR Now? - 1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Sell the region through scale, but in the language of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Text: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world’s next strategic intersection for Global Capital, Innovation, Long-Term Growth, Market Expansion, Oil &amp; Gas, Critical Minerals, Partnerships and Progress.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While traditional markets saturate, the Greater Caspian Region (GCR) creates a new center of gravity for global trade. Connecting China and Europe via the </w:t>
      </w:r>
      <w:r w:rsidDel="00000000" w:rsidR="00000000" w:rsidRPr="00000000">
        <w:rPr>
          <w:rtl w:val="0"/>
        </w:rPr>
        <w:t xml:space="preserve">Trans Caspian Corridor</w:t>
      </w:r>
      <w:r w:rsidDel="00000000" w:rsidR="00000000" w:rsidRPr="00000000">
        <w:rPr>
          <w:rtl w:val="0"/>
        </w:rPr>
        <w:t xml:space="preserve">, this market represents a $8.4T GDP potential and access to 640+ million consumers. It is no longer a question of "if" global business expands here, but "how" to navigate the complexity.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Key Metrics (Grid):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1320" w:righ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$8.4 Trillion (PPP):</w:t>
      </w:r>
      <w:r w:rsidDel="00000000" w:rsidR="00000000" w:rsidRPr="00000000">
        <w:rPr>
          <w:rtl w:val="0"/>
        </w:rPr>
        <w:t xml:space="preserve"> Combined GDP of the GCR economies.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Energy Transition:</w:t>
      </w:r>
      <w:r w:rsidDel="00000000" w:rsidR="00000000" w:rsidRPr="00000000">
        <w:rPr>
          <w:rtl w:val="0"/>
        </w:rPr>
        <w:t xml:space="preserve"> World’s largest untapped potential for </w:t>
      </w:r>
      <w:r w:rsidDel="00000000" w:rsidR="00000000" w:rsidRPr="00000000">
        <w:rPr>
          <w:rtl w:val="0"/>
        </w:rPr>
        <w:t xml:space="preserve">Oil, Gas, Critical Minerals &amp; Renewable 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1320" w:righ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Logistics Hub:</w:t>
      </w:r>
      <w:r w:rsidDel="00000000" w:rsidR="00000000" w:rsidRPr="00000000">
        <w:rPr>
          <w:rtl w:val="0"/>
        </w:rPr>
        <w:t xml:space="preserve"> +40% YoY growth in cargo transit via the Trans-Caspian Route.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Despite the opportunity, the region remains a "blind spot" for </w:t>
      </w:r>
      <w:r w:rsidDel="00000000" w:rsidR="00000000" w:rsidRPr="00000000">
        <w:rPr>
          <w:rtl w:val="0"/>
        </w:rPr>
        <w:t xml:space="preserve">Western companies. Navigating </w:t>
      </w:r>
      <w:r w:rsidDel="00000000" w:rsidR="00000000" w:rsidRPr="00000000">
        <w:rPr>
          <w:b w:val="1"/>
          <w:bCs w:val="1"/>
          <w:rtl w:val="0"/>
        </w:rPr>
        <w:t xml:space="preserve">complex PSAs</w:t>
      </w:r>
      <w:r w:rsidDel="00000000" w:rsidR="00000000" w:rsidRPr="00000000">
        <w:rPr>
          <w:rtl w:val="0"/>
        </w:rPr>
        <w:t xml:space="preserve"> and local content requirements for </w:t>
      </w:r>
      <w:r w:rsidDel="00000000" w:rsidR="00000000" w:rsidRPr="00000000">
        <w:rPr>
          <w:b w:val="1"/>
          <w:bCs w:val="1"/>
          <w:rtl w:val="0"/>
        </w:rPr>
        <w:t xml:space="preserve">industries such as extractive</w:t>
      </w:r>
      <w:r w:rsidDel="00000000" w:rsidR="00000000" w:rsidRPr="00000000">
        <w:rPr>
          <w:rtl w:val="0"/>
        </w:rPr>
        <w:t xml:space="preserve"> creates a barrier we bridge.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right="600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vc0223cw1yq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. Impact Metrics (Trust Signals) - 1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Social proof of scale. We use data on the Network and Reach, as the firm is positioned as an infrastructure partner.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Text: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Power of the Network.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Metrics Row: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18 Countries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Descriptor:</w:t>
      </w:r>
      <w:r w:rsidDel="00000000" w:rsidR="00000000" w:rsidRPr="00000000">
        <w:rPr>
          <w:rtl w:val="0"/>
        </w:rPr>
        <w:t xml:space="preserve"> Full operational coverage across the Greater Caspian Region.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10,000+ Partners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Descriptor:</w:t>
      </w:r>
      <w:r w:rsidDel="00000000" w:rsidR="00000000" w:rsidRPr="00000000">
        <w:rPr>
          <w:rtl w:val="0"/>
        </w:rPr>
        <w:t xml:space="preserve"> Verified database of local distributors, integrators, and B2G stakeholders.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UN &amp; ICC &amp; FIATA &amp; More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Descriptor:</w:t>
      </w:r>
      <w:r w:rsidDel="00000000" w:rsidR="00000000" w:rsidRPr="00000000">
        <w:rPr>
          <w:rtl w:val="0"/>
        </w:rPr>
        <w:t xml:space="preserve"> High-level access via accredited representation and global engagement.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100% Compliance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Descriptor:</w:t>
      </w:r>
      <w:r w:rsidDel="00000000" w:rsidR="00000000" w:rsidRPr="00000000">
        <w:rPr>
          <w:rtl w:val="0"/>
        </w:rPr>
        <w:t xml:space="preserve"> Zero-tolerance policy for grey schemes. Fully transparent operation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highlight w:val="yellow"/>
        </w:rPr>
      </w:pPr>
      <w:bookmarkStart w:colFirst="0" w:colLast="0" w:name="_jnal7ha101c4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yellow"/>
          <w:rtl w:val="0"/>
        </w:rPr>
        <w:t xml:space="preserve">5. Services Overview (Capabilities Matrix) - 1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UX Specs: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4x3 grid (for desktop) or slider grouped by 4 on mobile. Minimalist cards: icon + headline + micro-description. On hover, the card becomes active (changes color to brand blue/gold) and an "Explore" button appears.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e9sehekdke51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1. GCR Market Entry &amp; GTM Strategy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Architectural compass on the region map.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Lighthouse beam cutting through fog.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Schematic bridge connecting two points over an abyss.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We turn the region's uncertainty into a calculated investment plan and step-by-step strategy.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j6ah4ghpxqhd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2. GCR Deployment Teams &amp; Operational Infrastructure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Open case (suitcase) with a deployed office inside.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Plug connecting to a globe.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Modular cube symbolizing a quick start.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Instant launch of operations without legal entity registration and capital expenditures.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sodqg1yr8dy9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3. Strategic Alliance Origination &amp; Stakeholder Alignment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Two intertwined knots (marine knot), symbolizing the strength of the connection.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Stylized key opening a door.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Two profiles silhouettes forming a single whole.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Direct access to stakeholders and creation of alliances with the market elite.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h08n0psqy6q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4. Negotiation Mastery &amp; Channel Performance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Scales of justice, with a document on one side and a handshake on the other.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Conductor's baton (orchestra management).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Chess piece making a decisive move.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Cultural mediation of deals and turning distributors into a transparent sales channel.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431ah5ylkrt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5. Multi-Jurisdictional Fiscal Architecture &amp; Compliance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Antique column supporting a modern building (foundation).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Multi-layered safe or safety deposit box in cross-section.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Geometrically perfect honeycomb (structure).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Creating a legal shell for asset protection and free repatriation of capital.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ib4h1r1xgie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6. Industrial Asset Deployment &amp; Supply Chain Resilience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Stylized factory floor or crane silhouette.</w:t>
      </w:r>
    </w:p>
    <w:p w:rsidR="00000000" w:rsidDel="00000000" w:rsidP="00000000" w:rsidRDefault="00000000" w:rsidRPr="00000000" w14:paraId="0000005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Chain links connected in an unbreakable circle.</w:t>
      </w:r>
    </w:p>
    <w:p w:rsidR="00000000" w:rsidDel="00000000" w:rsidP="00000000" w:rsidRDefault="00000000" w:rsidRPr="00000000" w14:paraId="0000005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3D model of a container or logistics hub.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Management of asset construction and setting up sustainable "turnkey" supply chains.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71ez2x3m7ve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7. Regulatory Framework &amp; Market Access Acceleration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Raised barrier or open gates.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Stamp with a verification checkmark.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Traffic light showing green.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Overcoming non-tariff barriers and accelerating customs clearance via "green corridors".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h3svk8uyi1nf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8. M&amp;A Lifecycle &amp; Capital Allocation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Magnifying glass focused on a graph or document (search for truth).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Diamond (symbol of value) inside rock.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Two rivers merging into one powerful artery.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Search for non-public assets and rigorous verification of the real business value.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pbl8v0b2wcj6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9. Digital Ecosystem Integration &amp; GCR Innovation Scouting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Smartphone with connection threads coming out (network).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Neural network or microchip in the shape of the region map.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Radar scanning the space.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Integration into local SuperApps and scouting technologies for industrial giants.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b0qmy8d1q0x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10. Corporate Governance Oversight &amp; Fiduciary Control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All-seeing eye (stylized, geometric) or lens.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Captain's wheel or compass.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Stern gavel of the board chairman.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System of checks and balances for full control over remote assets.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v3upuucet2ak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11. Risk Management &amp; Asset Protection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Fortress wall or bastion (top view).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Shield with a lock.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Umbrella sheltering from hail/storm.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Immunity from regulatory pressure and protection of intellectual property and reputation.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prf507nggnfl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12. Legal Defense &amp; Crisis Resolution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Icon (Concepts):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A: Sword and shield (classic defense).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B: Lifebuoy (but "heavy duty" style, steel).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 C: Red button or emergency brake lever.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Description:</w:t>
      </w:r>
      <w:r w:rsidDel="00000000" w:rsidR="00000000" w:rsidRPr="00000000">
        <w:rPr>
          <w:i w:val="1"/>
          <w:iCs w:val="1"/>
          <w:rtl w:val="0"/>
        </w:rPr>
        <w:t xml:space="preserve"> Legal armor and operational command in situations of existential threat to the business.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fyl2ocdfhgb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8i5pzbulogl7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nmnx3md6wgt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w0somibqmkj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6. Expert Materials Feed - 3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Proof of Expertise through demonstration of deep understanding of context and real results.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UX Specs: - NO TEXT IS FINAL HERE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Asymmetrical split (60% left part / 40% right part).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part (Hero-Case Slider):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  <w:t xml:space="preserve"> On click gets you to a correspondent “case”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Large typography. Text, You see Headline and a small description of “case”.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1 Example:</w:t>
      </w:r>
      <w:r w:rsidDel="00000000" w:rsidR="00000000" w:rsidRPr="00000000">
        <w:rPr>
          <w:rtl w:val="0"/>
        </w:rPr>
        <w:t xml:space="preserve"> Headline "Market Entry via AIFC". Caption: "From zero to fully licensed fintech operation in Kazakhstan."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Slide 2 Example:</w:t>
      </w:r>
      <w:r w:rsidDel="00000000" w:rsidR="00000000" w:rsidRPr="00000000">
        <w:rPr>
          <w:rtl w:val="0"/>
        </w:rPr>
        <w:t xml:space="preserve"> Headline "Strategic Partnership". Caption: "Facilitated joint venture for a European Energy Major."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part (Insights Feed):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Changes on hover of different texts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  <w:shd w:fill="d9d2e9" w:val="clear"/>
        </w:rPr>
      </w:pPr>
      <w:bookmarkStart w:colFirst="0" w:colLast="0" w:name="_iiv0uj23vm04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shd w:fill="d9d2e9" w:val="clear"/>
          <w:rtl w:val="0"/>
        </w:rPr>
        <w:t xml:space="preserve">6. Leadership &amp; Access (Our Specialists) - 2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hd w:fill="d9d2e9" w:val="clear"/>
          <w:rtl w:val="0"/>
        </w:rPr>
        <w:t xml:space="preserve">⏳ </w:t>
      </w:r>
      <w:r w:rsidDel="00000000" w:rsidR="00000000" w:rsidRPr="00000000">
        <w:rPr>
          <w:b w:val="1"/>
          <w:bCs w:val="1"/>
          <w:i w:val="1"/>
          <w:iCs w:val="1"/>
          <w:shd w:fill="d9d2e9" w:val="clear"/>
          <w:rtl w:val="0"/>
        </w:rPr>
        <w:t xml:space="preserve">WAITING FOR DATA:</w:t>
      </w:r>
      <w:r w:rsidDel="00000000" w:rsidR="00000000" w:rsidRPr="00000000">
        <w:rPr>
          <w:i w:val="1"/>
          <w:iCs w:val="1"/>
          <w:shd w:fill="d9d2e9" w:val="clear"/>
          <w:rtl w:val="0"/>
        </w:rPr>
        <w:t xml:space="preserve"> For the [Leadership &amp; Access] block, I need personalities. I only have data on Murat Seit. Write to me: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  <w:shd w:fill="d9d2e9" w:val="clear"/>
        </w:rPr>
      </w:pPr>
      <w:r w:rsidDel="00000000" w:rsidR="00000000" w:rsidRPr="00000000">
        <w:rPr>
          <w:i w:val="1"/>
          <w:iCs w:val="1"/>
          <w:shd w:fill="d9d2e9" w:val="clear"/>
          <w:rtl w:val="0"/>
        </w:rPr>
        <w:t xml:space="preserve">Names and positions of 2-3 key partners we are showing.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  <w:shd w:fill="d9d2e9" w:val="clear"/>
        </w:rPr>
      </w:pPr>
      <w:r w:rsidDel="00000000" w:rsidR="00000000" w:rsidRPr="00000000">
        <w:rPr>
          <w:i w:val="1"/>
          <w:iCs w:val="1"/>
          <w:shd w:fill="d9d2e9" w:val="clear"/>
          <w:rtl w:val="0"/>
        </w:rPr>
        <w:t xml:space="preserve">Their "Superpower" (1 phrase-regalia, e.g.: "20 years in Oil&amp;Gas" or "Ex-Big4 Partner"). If there are no real partners yet, confirm that I need to generate generalized text about the team without names.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ind w:left="0" w:right="600" w:firstLine="0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bxou8go6q8xz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8. Industry Expertise (Sector Visualization) - 1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Show the client that we understand the specifics of their industry. Not just "business", but "energy" or "fintech".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Text: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Sector-Specific Intelligence.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We do not apply generic templates. Our expertise is deeply verticalized to address the unique regulatory and operational challenges of the GCR’s dominant industries.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Cards (Hover Content):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&amp; Resources:</w:t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Visible:</w:t>
      </w:r>
      <w:r w:rsidDel="00000000" w:rsidR="00000000" w:rsidRPr="00000000">
        <w:rPr>
          <w:rtl w:val="0"/>
        </w:rPr>
        <w:t xml:space="preserve"> Oil, Gas, Critical Minerals &amp; Renewables.</w:t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Hover State:</w:t>
      </w:r>
      <w:r w:rsidDel="00000000" w:rsidR="00000000" w:rsidRPr="00000000">
        <w:rPr>
          <w:rtl w:val="0"/>
        </w:rPr>
        <w:t xml:space="preserve"> Navigating PSAs, subsoil usage rights, and ESG compliance for the energy transition.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&amp; Logistics: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Visible:</w:t>
      </w:r>
      <w:r w:rsidDel="00000000" w:rsidR="00000000" w:rsidRPr="00000000">
        <w:rPr>
          <w:rtl w:val="0"/>
        </w:rPr>
        <w:t xml:space="preserve"> Belt and Road Initiative (BRI), Middle Corridor, Trans-Caspian Corridor &amp; Supply Chain.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Hover State:</w:t>
      </w:r>
      <w:r w:rsidDel="00000000" w:rsidR="00000000" w:rsidRPr="00000000">
        <w:rPr>
          <w:rtl w:val="0"/>
        </w:rPr>
        <w:t xml:space="preserve"> Solving cross-border friction and customs bottlenecks across the Trans-Caspian routes.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&amp; Digital: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Visible:</w:t>
      </w:r>
      <w:r w:rsidDel="00000000" w:rsidR="00000000" w:rsidRPr="00000000">
        <w:rPr>
          <w:rtl w:val="0"/>
        </w:rPr>
        <w:t xml:space="preserve"> Market Entry &amp; Banking Infrastructure.</w:t>
      </w:r>
    </w:p>
    <w:p w:rsidR="00000000" w:rsidDel="00000000" w:rsidP="00000000" w:rsidRDefault="00000000" w:rsidRPr="00000000" w14:paraId="000000A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Hover State:</w:t>
      </w:r>
      <w:r w:rsidDel="00000000" w:rsidR="00000000" w:rsidRPr="00000000">
        <w:rPr>
          <w:rtl w:val="0"/>
        </w:rPr>
        <w:t xml:space="preserve"> Leveraging AIFC regulatory sandboxes and building banking partnerships for rapid scaling.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FMCG &amp; Retail:</w:t>
      </w:r>
    </w:p>
    <w:p w:rsidR="00000000" w:rsidDel="00000000" w:rsidP="00000000" w:rsidRDefault="00000000" w:rsidRPr="00000000" w14:paraId="000000A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Visible:</w:t>
      </w:r>
      <w:r w:rsidDel="00000000" w:rsidR="00000000" w:rsidRPr="00000000">
        <w:rPr>
          <w:rtl w:val="0"/>
        </w:rPr>
        <w:t xml:space="preserve"> Distribution &amp; Localization.</w:t>
      </w:r>
    </w:p>
    <w:p w:rsidR="00000000" w:rsidDel="00000000" w:rsidP="00000000" w:rsidRDefault="00000000" w:rsidRPr="00000000" w14:paraId="000000A3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Hover State:</w:t>
      </w:r>
      <w:r w:rsidDel="00000000" w:rsidR="00000000" w:rsidRPr="00000000">
        <w:rPr>
          <w:rtl w:val="0"/>
        </w:rPr>
        <w:t xml:space="preserve"> Accessing reliable distribution networks and adapting brands to local cultural codes.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ind w:left="600" w:right="600" w:firstLine="0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yy8na05dbelg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9. Readiness Check (Interactive) - 1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Lead magnet. An easy first step for a client who is afraid to call immediately.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Text: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Callout Box Headline:</w:t>
      </w:r>
      <w:r w:rsidDel="00000000" w:rsidR="00000000" w:rsidRPr="00000000">
        <w:rPr>
          <w:rtl w:val="0"/>
        </w:rPr>
        <w:t xml:space="preserve"> Is Your Business Ready for the GCR Expansion?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Copy:</w:t>
      </w:r>
      <w:r w:rsidDel="00000000" w:rsidR="00000000" w:rsidRPr="00000000">
        <w:rPr>
          <w:rtl w:val="0"/>
        </w:rPr>
        <w:t xml:space="preserve"> The Caspian region favors deep preparation over improvisation. Take our 10-minute preliminary assessment to evaluate your licensing eligibility and regulatory readiness for the GCR energy and minerals market. Receive a personalized risk profile and recommended entry strategy.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Button (CTA):</w:t>
      </w:r>
      <w:r w:rsidDel="00000000" w:rsidR="00000000" w:rsidRPr="00000000">
        <w:rPr>
          <w:rtl w:val="0"/>
        </w:rPr>
        <w:t xml:space="preserve"> [Start Readiness Assessment]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1rjufrti1jz9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10. Footer - 1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Objective:</w:t>
      </w:r>
      <w:r w:rsidDel="00000000" w:rsidR="00000000" w:rsidRPr="00000000">
        <w:rPr>
          <w:highlight w:val="yellow"/>
          <w:rtl w:val="0"/>
        </w:rPr>
        <w:t xml:space="preserve"> Functionality and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Текст: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i w:val="1"/>
          <w:iCs w:val="1"/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Company Info:</w:t>
      </w:r>
      <w:r w:rsidDel="00000000" w:rsidR="00000000" w:rsidRPr="00000000">
        <w:rPr>
          <w:shd w:fill="d9d2e9" w:val="clear"/>
          <w:rtl w:val="0"/>
        </w:rPr>
        <w:t xml:space="preserve">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GCR Consulting Boutique</w:t>
      </w:r>
      <w:r w:rsidDel="00000000" w:rsidR="00000000" w:rsidRPr="00000000">
        <w:rPr>
          <w:shd w:fill="d9d2e9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d9d2e9" w:val="clear"/>
          <w:rtl w:val="0"/>
        </w:rPr>
        <w:t xml:space="preserve">Bridging Western Capital with Caspian Opportunity.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>
          <w:b w:val="1"/>
          <w:bCs w:val="1"/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Offices: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24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Geneva (HQ):</w:t>
      </w:r>
      <w:r w:rsidDel="00000000" w:rsidR="00000000" w:rsidRPr="00000000">
        <w:rPr>
          <w:shd w:fill="d9d2e9" w:val="clear"/>
          <w:rtl w:val="0"/>
        </w:rPr>
        <w:t xml:space="preserve"> [Address / "By Appointment"] — </w:t>
      </w:r>
      <w:r w:rsidDel="00000000" w:rsidR="00000000" w:rsidRPr="00000000">
        <w:rPr>
          <w:i w:val="1"/>
          <w:iCs w:val="1"/>
          <w:shd w:fill="d9d2e9" w:val="clear"/>
          <w:rtl w:val="0"/>
        </w:rPr>
        <w:t xml:space="preserve">Symbol of Western Governance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Astana (Regional Hub):</w:t>
      </w:r>
      <w:r w:rsidDel="00000000" w:rsidR="00000000" w:rsidRPr="00000000">
        <w:rPr>
          <w:shd w:fill="d9d2e9" w:val="clear"/>
          <w:rtl w:val="0"/>
        </w:rPr>
        <w:t xml:space="preserve"> AIFC, Mangilik Yel Ave. — </w:t>
      </w:r>
      <w:r w:rsidDel="00000000" w:rsidR="00000000" w:rsidRPr="00000000">
        <w:rPr>
          <w:i w:val="1"/>
          <w:iCs w:val="1"/>
          <w:shd w:fill="d9d2e9" w:val="clear"/>
          <w:rtl w:val="0"/>
        </w:rPr>
        <w:t xml:space="preserve">Symbol of Local Operations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40" w:before="0" w:beforeAutospacing="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Baku:</w:t>
      </w:r>
      <w:r w:rsidDel="00000000" w:rsidR="00000000" w:rsidRPr="00000000">
        <w:rPr>
          <w:shd w:fill="d9d2e9" w:val="clear"/>
          <w:rtl w:val="0"/>
        </w:rPr>
        <w:t xml:space="preserve"> [Address / Representative]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Navigation: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Services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Industries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Insights &amp; Reports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About Us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1320" w:right="60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Readiness Check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Connect:</w:t>
      </w:r>
      <w:r w:rsidDel="00000000" w:rsidR="00000000" w:rsidRPr="00000000">
        <w:rPr>
          <w:shd w:fill="d9d2e9" w:val="clear"/>
          <w:rtl w:val="0"/>
        </w:rPr>
        <w:t xml:space="preserve"> [LinkedIn Icon] — </w:t>
      </w:r>
      <w:r w:rsidDel="00000000" w:rsidR="00000000" w:rsidRPr="00000000">
        <w:rPr>
          <w:i w:val="1"/>
          <w:iCs w:val="1"/>
          <w:shd w:fill="d9d2e9" w:val="clear"/>
          <w:rtl w:val="0"/>
        </w:rPr>
        <w:t xml:space="preserve">Follow for Weekly Region Updates</w:t>
      </w:r>
      <w:r w:rsidDel="00000000" w:rsidR="00000000" w:rsidRPr="00000000">
        <w:rPr>
          <w:shd w:fill="d9d2e9" w:val="clear"/>
          <w:rtl w:val="0"/>
        </w:rPr>
        <w:t xml:space="preserve"> Email: partners@gcr-boutique.com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Legal:</w:t>
      </w:r>
      <w:r w:rsidDel="00000000" w:rsidR="00000000" w:rsidRPr="00000000">
        <w:rPr>
          <w:shd w:fill="d9d2e9" w:val="clear"/>
          <w:rtl w:val="0"/>
        </w:rPr>
        <w:t xml:space="preserve"> © 2026 GCR Consulting. All Rights Reserved. [Privacy Policy (GDPR Compliant)] | [Terms of Engagement] | [Compliance Statement]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