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Week 6 Progress Writeup</w:t>
      </w:r>
    </w:p>
    <w:p w:rsidR="00000000" w:rsidDel="00000000" w:rsidP="00000000" w:rsidRDefault="00000000" w:rsidRPr="00000000" w14:paraId="00000002">
      <w:pPr>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03">
      <w:pPr>
        <w:numPr>
          <w:ilvl w:val="0"/>
          <w:numId w:val="1"/>
        </w:numPr>
        <w:ind w:left="720" w:hanging="360"/>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Each team member's contribution:</w:t>
      </w:r>
    </w:p>
    <w:p w:rsidR="00000000" w:rsidDel="00000000" w:rsidP="00000000" w:rsidRDefault="00000000" w:rsidRPr="00000000" w14:paraId="00000004">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05">
      <w:pPr>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Shreya - This week I moved Model 3 from a baseline into a full, production-grade uplift model. I added a second outcome column checking whether treated households actually redeemed their coupon or would have bought regardless, then built `model3_uplift.py`: a T-learner trained on the complete 43,396-row dataset, no subsampling, after testing and rejecting `class_weight='balanced'` once I found it distorted predicted probabilities by 3x. The centerpiece result: uplift falls monotonically as historical spend rises (26.5% lift for low spenders vs. 9.3% for the heaviest), reproduced by the model on held-out campaigns it never trained on. I confirmed this independently down to the purchase and product level, 88.2% of treated purchasers never redeemed their coupon, holding true campaign by campaign and even for staples like eggs and bananas, direct evidence the retailer currently targets "sure things" over persuadable households. I also added a product-level drill-down ranking all 208 eligible products by this same pattern, and a demographic segmentation showing spend history predicts responsiveness far better than age or homeownership. I documented every decision in a design doc, added unit tests, and kept the full suite passing (154 tests). Open for next week: resolving the model's negative Qini coefficient (propensity-weighting vs. common-support trimming), and moving the display/flyer confound into a model feature instead of a hard filter.</w:t>
      </w:r>
    </w:p>
    <w:p w:rsidR="00000000" w:rsidDel="00000000" w:rsidP="00000000" w:rsidRDefault="00000000" w:rsidRPr="00000000" w14:paraId="00000006">
      <w:pPr>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7">
      <w:pPr>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John - This week I built and merged a Model 1 evaluation that builds on the baseline (src/modeling/model1_evaluation.py, PR #11), addressing the mentors’ feedback to validate the baseline and understand its features before adding complexity. I re-tested the baseline campaign by campaign over 18 test campaigns, training each only on campaigns that had already ended. Under this setup, the random forest reached 57.0% of redeemers in each campaign’s top 20%, compared with 48.2% for the “redeemed before” rule (+8.8 points, 95% interval +5.5 to +12.4). Feature analysis showed that one feature (how often a household uses coupons) drives nearly all of the model’s performance. Ranking by that feature alone matched the full model (57.1%), while adding already-built features or switching to LightGBM changed results by only about a point. I also verified that every model input is available before the campaign starts and added unit tests. This testing approach has since been adopted by the Modeling and Evaluation Agents for all three models. I presented these findings at Friday’s mentor meeting, including a breakdown of which features the Feature Agent builds and which Model 1 currently uses.</w:t>
      </w:r>
    </w:p>
    <w:p w:rsidR="00000000" w:rsidDel="00000000" w:rsidP="00000000" w:rsidRDefault="00000000" w:rsidRPr="00000000" w14:paraId="00000008">
      <w:pPr>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9">
      <w:pPr>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Anna - This week I worked on Model 2 tuning, following up the mentors’ feedback on its small sample (254 rows). I tested 29 alternatives, including tuned random forests, LightGBM, a log-transformed target, additional household features, and campaign-level features. Since the 70/30 split leaves only 128 test rows, I added a walk-forward evaluation (each campaign predicted only from earlier campaigns) with a campaign-level bootstrap. None of the more complex models beat the “usual spend” benchmark reliably; the main bottleneck is data size, since about a third of spend variation is between campaigns and there are only 25 of them. The model that does beat it is a simple, explainable one-feature median regression, spend ≈ 0.79 × usual spend + $6, which cuts average error from $10.40 to $9.72 and wins in 100% of 2,000 bootstrap resamples. I merged it as the primary Model 2 build (</w:t>
      </w:r>
      <w:r w:rsidDel="00000000" w:rsidR="00000000" w:rsidRPr="00000000">
        <w:rPr>
          <w:rFonts w:ascii="Calibri" w:cs="Calibri" w:eastAsia="Calibri" w:hAnsi="Calibri"/>
          <w:sz w:val="20"/>
          <w:szCs w:val="20"/>
          <w:rtl w:val="0"/>
        </w:rPr>
        <w:t xml:space="preserve">src/modeling/model2_value.py</w:t>
      </w:r>
      <w:r w:rsidDel="00000000" w:rsidR="00000000" w:rsidRPr="00000000">
        <w:rPr>
          <w:rFonts w:ascii="Calibri" w:cs="Calibri" w:eastAsia="Calibri" w:hAnsi="Calibri"/>
          <w:sz w:val="20"/>
          <w:szCs w:val="20"/>
          <w:rtl w:val="0"/>
        </w:rPr>
        <w:t xml:space="preserve">, PR #17), along with a design doc covering every alternative and why it didn’t help, a script that reproduces all 29 experiments, and unit tests. I presented these findings at Friday’s mentor meeting, and as a next step I will explore whether other features can improve the model. </w:t>
      </w:r>
    </w:p>
    <w:p w:rsidR="00000000" w:rsidDel="00000000" w:rsidP="00000000" w:rsidRDefault="00000000" w:rsidRPr="00000000" w14:paraId="0000000A">
      <w:pPr>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B">
      <w:pPr>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Pranav - This week I built the Modeling Agent and the Evaluation Agent, which wrap around all three models, plus a Claude Code skill so a data scientist can run them by asking, for example, to "run Model 1." The Modeling Agent runs each owner's model exactly as written, plus a few variations like more columns, LightGBM, and deeper or shallower trees. It tests every option campaign by campaign, training only on campaigns that had already ended. The Evaluation Agent grades the results against written rules for each model: does the model beat a simple rule by more than luck, do its forecast totals match reality, and was the test fair? Then it gives a verdict: approve, send back to modeling, send back to features, or ask a person. For example, Model 1 was approved. It caught 56.3% of redeemers in its top 20%, versus 47.6% for the "redeemed before" rule, which simply mails the households that redeemed the biggest share of their past coupons. I also built a "brain" that suggests ways to improve a model, which only runs once a person approves them. I also worked with John on Model 1 to validate the existing baseline and come up with different models we could try. I presented both agents at the mentor meeting on Friday.</w:t>
      </w:r>
    </w:p>
    <w:p w:rsidR="00000000" w:rsidDel="00000000" w:rsidP="00000000" w:rsidRDefault="00000000" w:rsidRPr="00000000" w14:paraId="0000000C">
      <w:pPr>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Zhiyan - This week I replaced the fixed quantity cut-off of 100 with cut-offs calculated from the data. The first IQR attempt failed on quantity because most purchases are exactly one item, and checking the 23,136 flagged rows showed that nearly all were gas-kiosk and miscellaneous lines, where quantity is not an item count. The agent now separates these non-merchandise lines (29,637 rows) first and fits cut-offs on ordinary merchandise only, so rows with quantity above 100 dropped from 23,136 to 1, and large values on regular products get a watch flag (2,946 rows) instead of being treated as errors. I also added rules for the other anomalies: rounding noise in discounts and sales values is ignored, probable sign typos and missing quantities are flagged with corrected values in new columns, and only 3 items are left for a person to decide (gas and misc spend, 24 small-amount rows, and conflicting display records). I wrote these up as a draft autonomy policy and moved the Data Agent scripts into </w:t>
      </w:r>
      <w:r w:rsidDel="00000000" w:rsidR="00000000" w:rsidRPr="00000000">
        <w:rPr>
          <w:rFonts w:ascii="Roboto Mono" w:cs="Roboto Mono" w:eastAsia="Roboto Mono" w:hAnsi="Roboto Mono"/>
          <w:color w:val="188038"/>
          <w:sz w:val="20"/>
          <w:szCs w:val="20"/>
          <w:rtl w:val="0"/>
        </w:rPr>
        <w:t xml:space="preserve">src/preprocessing</w:t>
      </w:r>
      <w:r w:rsidDel="00000000" w:rsidR="00000000" w:rsidRPr="00000000">
        <w:rPr>
          <w:rFonts w:ascii="Calibri" w:cs="Calibri" w:eastAsia="Calibri" w:hAnsi="Calibri"/>
          <w:sz w:val="20"/>
          <w:szCs w:val="20"/>
          <w:rtl w:val="0"/>
        </w:rPr>
        <w:t xml:space="preserve"> in the group repo. Next week, we will build the LLM review layer for items the rules can’t explain and write the heavy-spender note for Model 3, and the open decisions are waiting on mentor input.</w:t>
      </w:r>
    </w:p>
    <w:p w:rsidR="00000000" w:rsidDel="00000000" w:rsidP="00000000" w:rsidRDefault="00000000" w:rsidRPr="00000000" w14:paraId="0000000E">
      <w:pPr>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F">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10">
      <w:pPr>
        <w:numPr>
          <w:ilvl w:val="0"/>
          <w:numId w:val="1"/>
        </w:numPr>
        <w:ind w:left="720" w:hanging="360"/>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Plan for upcoming week</w:t>
      </w:r>
    </w:p>
    <w:p w:rsidR="00000000" w:rsidDel="00000000" w:rsidP="00000000" w:rsidRDefault="00000000" w:rsidRPr="00000000" w14:paraId="00000011">
      <w:pPr>
        <w:rPr>
          <w:rFonts w:ascii="Calibri" w:cs="Calibri" w:eastAsia="Calibri" w:hAnsi="Calibri"/>
          <w:b w:val="1"/>
          <w:bCs w:val="1"/>
          <w:sz w:val="21"/>
          <w:szCs w:val="21"/>
        </w:rPr>
      </w:pPr>
      <w:r w:rsidDel="00000000" w:rsidR="00000000" w:rsidRPr="00000000">
        <w:rPr>
          <w:rtl w:val="0"/>
        </w:rPr>
      </w:r>
    </w:p>
    <w:p w:rsidR="00000000" w:rsidDel="00000000" w:rsidP="00000000" w:rsidRDefault="00000000" w:rsidRPr="00000000" w14:paraId="0000001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Next week we will finish the open Data Agent questions: we will look into the missing-quantity and quantity-with-no-sales rows by campaign and product, and decide whether gas and miscellaneous lines count as household spend. For Model 1, we will test feature groups beyond coupon use, including demographics, instead of dropping them. For Model 3, we will decide how to handle the negative Qini, either by weighting or by removing outliers. As a team, we will use the Modeling and Evaluation Agents on all three models to see whether the agent's improvement suggestions are actually useful, and agree on the rules for what counts as good enough for each model. We will also start planning how the agents work together, how they fit into the Decision Lab, and how we could deploy them as a prototype, possibly using GCP credits.</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