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6s6ekft8khd" w:id="0"/>
      <w:bookmarkEnd w:id="0"/>
      <w:r w:rsidDel="00000000" w:rsidR="00000000" w:rsidRPr="00000000">
        <w:rPr>
          <w:rtl w:val="0"/>
        </w:rPr>
        <w:t xml:space="preserve">Data Derived Outlier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IQR method first: working on a log scale because the data is heavily skewed. It broke down in two ways: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Quantity:</w:t>
      </w:r>
      <w:r w:rsidDel="00000000" w:rsidR="00000000" w:rsidRPr="00000000">
        <w:rPr>
          <w:rtl w:val="0"/>
        </w:rPr>
        <w:t xml:space="preserve"> most purchases are exactly one item, so the middle half of the data is a single value and the IQR is 0. The method then falls back to percentiles, which flag a fixed share of rows (1% and 0.1%) however the data looks. That isn’t detecting outliers.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cut-off could answer the real question.</w:t>
      </w:r>
      <w:r w:rsidDel="00000000" w:rsidR="00000000" w:rsidRPr="00000000">
        <w:rPr>
          <w:rtl w:val="0"/>
        </w:rPr>
        <w:t xml:space="preserve"> 23,136 rows had quantity above 100, but only 2,582 were above 17,000. A single number can’t tell me whether those rows are errors, bulk buyers, or something else.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581025</wp:posOffset>
                </wp:positionV>
                <wp:extent cx="5731200" cy="254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1175" y="1969250"/>
                          <a:ext cx="63747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581025</wp:posOffset>
                </wp:positionV>
                <wp:extent cx="5731200" cy="25400"/>
                <wp:effectExtent b="0" l="0" r="0" t="0"/>
                <wp:wrapNone/>
                <wp:docPr id="1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847725</wp:posOffset>
                </wp:positionV>
                <wp:extent cx="5731200" cy="254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1175" y="1969250"/>
                          <a:ext cx="63747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847725</wp:posOffset>
                </wp:positionV>
                <wp:extent cx="5731200" cy="25400"/>
                <wp:effectExtent b="0" l="0" r="0" t="0"/>
                <wp:wrapNone/>
                <wp:docPr id="1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323850</wp:posOffset>
                </wp:positionV>
                <wp:extent cx="726722" cy="1905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26075" y="1542950"/>
                          <a:ext cx="1319700" cy="3351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323850</wp:posOffset>
                </wp:positionV>
                <wp:extent cx="726722" cy="190500"/>
                <wp:effectExtent b="0" l="0" r="0" t="0"/>
                <wp:wrapNone/>
                <wp:docPr id="1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6722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485775</wp:posOffset>
                </wp:positionV>
                <wp:extent cx="5731200" cy="254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751175" y="1969250"/>
                          <a:ext cx="6374700" cy="102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485775</wp:posOffset>
                </wp:positionV>
                <wp:extent cx="5731200" cy="25400"/>
                <wp:effectExtent b="0" l="0" r="0" t="0"/>
                <wp:wrapNone/>
                <wp:docPr id="1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425176</wp:posOffset>
                </wp:positionV>
                <wp:extent cx="726722" cy="1905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26075" y="1542950"/>
                          <a:ext cx="1319700" cy="3351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425176</wp:posOffset>
                </wp:positionV>
                <wp:extent cx="726722" cy="190500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6722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1762125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823913</wp:posOffset>
                </wp:positionH>
                <wp:positionV relativeFrom="paragraph">
                  <wp:posOffset>952500</wp:posOffset>
                </wp:positionV>
                <wp:extent cx="1100138" cy="8477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61075" y="801925"/>
                          <a:ext cx="994800" cy="1471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823913</wp:posOffset>
                </wp:positionH>
                <wp:positionV relativeFrom="paragraph">
                  <wp:posOffset>952500</wp:posOffset>
                </wp:positionV>
                <wp:extent cx="1100138" cy="84772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0138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301335</wp:posOffset>
                </wp:positionV>
                <wp:extent cx="1257300" cy="2796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61075" y="801925"/>
                          <a:ext cx="994800" cy="1471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1266825</wp:posOffset>
                </wp:positionH>
                <wp:positionV relativeFrom="paragraph">
                  <wp:posOffset>301335</wp:posOffset>
                </wp:positionV>
                <wp:extent cx="1257300" cy="279690"/>
                <wp:effectExtent b="0" l="0" r="0" t="0"/>
                <wp:wrapNone/>
                <wp:docPr id="1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9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quantity isn’t an item count</w:t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→changed the logic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agent now first separates non-merchandise products (29,637 rows, 1.14% of all transactions), then fits the cut-offs on ordinary merchandise only. Coupon discounts use only the extreme level. The same investigation explained the other flags: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26 of the 36 “positive discounts” were floating-point noise, so I added a half-cent tolerance. That leaves 10.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14,399 rows are zero lines with no quantity and no sales. 7,839 of them belong to 15 products with no category.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4,451 rows are free or fully discounted items.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New result of outlier.py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165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4000500</wp:posOffset>
                </wp:positionV>
                <wp:extent cx="4933950" cy="1905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228275" y="1268875"/>
                          <a:ext cx="3522300" cy="365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4000500</wp:posOffset>
                </wp:positionV>
                <wp:extent cx="4933950" cy="190500"/>
                <wp:effectExtent b="0" l="0" r="0" t="0"/>
                <wp:wrapNone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9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2641425</wp:posOffset>
                </wp:positionV>
                <wp:extent cx="5048250" cy="2446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35400" y="984650"/>
                          <a:ext cx="4598400" cy="477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2641425</wp:posOffset>
                </wp:positionV>
                <wp:extent cx="5048250" cy="24465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0" cy="24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3638550</wp:posOffset>
                </wp:positionH>
                <wp:positionV relativeFrom="paragraph">
                  <wp:posOffset>1495425</wp:posOffset>
                </wp:positionV>
                <wp:extent cx="776288" cy="24765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426075" y="1177525"/>
                          <a:ext cx="2212800" cy="2841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3638550</wp:posOffset>
                </wp:positionH>
                <wp:positionV relativeFrom="paragraph">
                  <wp:posOffset>1495425</wp:posOffset>
                </wp:positionV>
                <wp:extent cx="776288" cy="247650"/>
                <wp:effectExtent b="0" l="0" r="0" t="0"/>
                <wp:wrapNone/>
                <wp:docPr id="1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88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35400" y="984650"/>
                          <a:ext cx="4598400" cy="477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0" cy="24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35400" y="984650"/>
                          <a:ext cx="4598400" cy="477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1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0" cy="24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35400" y="984650"/>
                          <a:ext cx="4598400" cy="477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0" cy="24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4933950" cy="1905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228275" y="1268875"/>
                          <a:ext cx="3522300" cy="365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4933950" cy="190500"/>
                <wp:effectExtent b="0" l="0" r="0" t="0"/>
                <wp:wrapNone/>
                <wp:docPr id="1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9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4933950" cy="1905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228275" y="1268875"/>
                          <a:ext cx="3522300" cy="365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4933950" cy="190500"/>
                <wp:effectExtent b="0" l="0" r="0" t="0"/>
                <wp:wrapNone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9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035400" y="984650"/>
                          <a:ext cx="4598400" cy="477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5359126</wp:posOffset>
                </wp:positionV>
                <wp:extent cx="5048250" cy="24465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0" cy="244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 extreme fence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16,963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 above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23,136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Extreme-low unit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23,235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Before: fence fitted on all rows, stretched by gas and misc lines. After: fitted on merchandise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Summary: what changed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did not remove outlier detection. I changed which rows the cut-offs are calculated 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I used a fixed cut-off of 100 (hypothetical threshold without any test) on quantity, applied to every row. It flagged 23,136 rows, and 23,135 of them were gas-kiosk and miscellaneous lines, where quantity is not an item count (the median unit price is $0.0023, against $1.99 for ordinary products).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agent first separates non-merchandise lines (29,637 rows, 1.14% of all transactions). These are a different kind of product, not outliers, so they are marked and left out of the outlier calculation.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ordinary merchandise only, it sets a cut-off for each field from the data: log-scale IQR for sales value and unit price, and percentiles for quantity, because most quantities are exactly 1 and the IQR is 0. Discount columns use only the extreme level, since coupon values are set face amounts.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above the cut-offs get a “watch” flag (2,946 rows). Nothing is deleted. The Feature Agent decides later whether to cap them.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rows with quantity above 100 dropped from 23,136 to 1, and extreme-low unit price rows dropped from 23,235 to 75. The quantity watch flag is a watch list, not a claim that those rows are wrong, because percentile cut-offs flag a fixed share of rows by construction.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/>
      </w:pPr>
      <w:bookmarkStart w:colFirst="0" w:colLast="0" w:name="_kkqkd4gln7b4" w:id="1"/>
      <w:bookmarkEnd w:id="1"/>
      <w:r w:rsidDel="00000000" w:rsidR="00000000" w:rsidRPr="00000000">
        <w:rPr>
          <w:rtl w:val="0"/>
        </w:rPr>
        <w:t xml:space="preserve">Data Anomalies (Positive discount)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anomalies: rules the agent applies on its own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6.685420172713"/>
        <w:gridCol w:w="5383.391600230939"/>
        <w:gridCol w:w="835.4347906199714"/>
        <w:tblGridChange w:id="0">
          <w:tblGrid>
            <w:gridCol w:w="2806.685420172713"/>
            <w:gridCol w:w="5383.391600230939"/>
            <w:gridCol w:w="835.4347906199714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Discount positive only by rounding 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Half-cent tolerance; ignored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value positive only by rounding noise (no quantity)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tolerance; ignored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 discount, quantity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Flagged as a price-adjustment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 0 and sales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Flagged as a zero line (voided or placeholder)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14,399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 but no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Flagged as a free or fully discounted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4,451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Positive discount, normal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If the flipped sign gives a normal share of the shelf price, flagged as a probable sign typo; corrected value in a new column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Quantity 0, but sales look normal for the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Flagged as probably missing quantity; money kept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“Normal” is measured from the data (mild IQR fence), not a fixed number. Original columns are never overwritten.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 decision log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1676400</wp:posOffset>
                </wp:positionV>
                <wp:extent cx="5734050" cy="1905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761325" y="1705375"/>
                          <a:ext cx="5948400" cy="253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-66674</wp:posOffset>
                </wp:positionH>
                <wp:positionV relativeFrom="paragraph">
                  <wp:posOffset>1676400</wp:posOffset>
                </wp:positionV>
                <wp:extent cx="5734050" cy="190500"/>
                <wp:effectExtent b="0" l="0" r="0" t="0"/>
                <wp:wrapNone/>
                <wp:docPr id="1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2133600</wp:posOffset>
                </wp:positionV>
                <wp:extent cx="5600700" cy="25488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771475" y="1725675"/>
                          <a:ext cx="5146500" cy="253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2133600</wp:posOffset>
                </wp:positionV>
                <wp:extent cx="5600700" cy="254887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700" cy="2548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Q7b changes the model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Escalates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Q7b: Gas and miscellaneous lines (29,637 rows):</w:t>
      </w:r>
      <w:r w:rsidDel="00000000" w:rsidR="00000000" w:rsidRPr="00000000">
        <w:rPr>
          <w:rtl w:val="0"/>
        </w:rPr>
        <w:t xml:space="preserve"> do they count as household spend? This changes every spend-based feature. My suggested default is to keep them marked, exclude them from the main spend features, and offer a separate fuel and misc feature.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Q5-2: Quantity 0 with a small real amount (24 rows, $0.02 to $0.50):</w:t>
      </w:r>
      <w:r w:rsidDel="00000000" w:rsidR="00000000" w:rsidRPr="00000000">
        <w:rPr>
          <w:rtl w:val="0"/>
        </w:rPr>
        <w:t xml:space="preserve"> no rule can decide these. My suggested default is to keep the money and ignore the quantity.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Q9: Conflicting in-store display records (15,245 rows):</w:t>
      </w:r>
      <w:r w:rsidDel="00000000" w:rsidR="00000000" w:rsidRPr="00000000">
        <w:rPr>
          <w:rtl w:val="0"/>
        </w:rPr>
        <w:t xml:space="preserve"> not used in the first model, so low priority.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Caveats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sign-typo and missing-quantity fixes are probable, not confirmed. I’d like the mentor to confirm the rule.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 cut-offs use percentiles, because most quantities are 1 and the IQR is 0. That flags a fixed share of rows, so it is a watch list, not a claim that those rows are wrong.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