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aps/>
          <w:color w:val="B8860B"/>
          <w:sz w:val="22"/>
          <w:szCs w:val="22"/>
        </w:rPr>
        <w:t xml:space="preserve">SAP FICO INTERNSHIP PROGRAM</w:t>
      </w:r>
    </w:p>
    <w:p>
      <w:pPr>
        <w:spacing w:after="300"/>
        <w:jc w:val="center"/>
      </w:pPr>
      <w:r>
        <w:rPr>
          <w:color w:val="595959"/>
          <w:sz w:val="22"/>
          <w:szCs w:val="22"/>
        </w:rPr>
        <w:t xml:space="preserve">Week 3 Task</w:t>
      </w:r>
    </w:p>
    <w:p>
      <w:pPr>
        <w:spacing w:after="200" w:before="200"/>
        <w:jc w:val="center"/>
      </w:pPr>
      <w:r>
        <w:rPr>
          <w:b/>
          <w:bCs/>
          <w:color w:val="1F3864"/>
          <w:sz w:val="52"/>
          <w:szCs w:val="52"/>
        </w:rPr>
        <w:t xml:space="preserve">SAP FICO Case Study</w:t>
      </w:r>
    </w:p>
    <w:p>
      <w:pPr>
        <w:spacing w:after="700"/>
        <w:jc w:val="center"/>
      </w:pPr>
      <w:r>
        <w:rPr>
          <w:i/>
          <w:iCs/>
          <w:color w:val="595959"/>
          <w:sz w:val="28"/>
          <w:szCs w:val="28"/>
        </w:rPr>
        <w:t xml:space="preserve">Global Financial Transformation at Colgate-Palmolive</w:t>
      </w:r>
    </w:p>
    <w:p>
      <w:pPr>
        <w:pBdr>
          <w:top w:val="single" w:color="B8860B" w:sz="6" w:space="12"/>
          <w:bottom w:val="single" w:color="B8860B" w:sz="6" w:space="12"/>
        </w:pBdr>
        <w:spacing w:after="3200"/>
        <w:jc w:val="center"/>
      </w:pPr>
      <w:r>
        <w:rPr>
          <w:i/>
          <w:iCs/>
          <w:color w:val="262626"/>
          <w:sz w:val="20"/>
          <w:szCs w:val="20"/>
        </w:rPr>
        <w:t xml:space="preserve">A study of how a Fortune 500 consumer goods leader used SAP Financial Accounting &amp; Controlling (FICO) to unify global finance operations across more than 100 countries</w:t>
      </w:r>
    </w:p>
    <w:p>
      <w:pPr>
        <w:spacing w:after="60"/>
        <w:jc w:val="center"/>
      </w:pPr>
      <w:r>
        <w:rPr>
          <w:color w:val="262626"/>
          <w:sz w:val="22"/>
          <w:szCs w:val="22"/>
        </w:rPr>
        <w:t xml:space="preserve">Prepared by:  [Your Name]</w:t>
      </w:r>
    </w:p>
    <w:p>
      <w:pPr>
        <w:spacing w:after="60"/>
        <w:jc w:val="center"/>
      </w:pPr>
      <w:r>
        <w:rPr>
          <w:color w:val="262626"/>
          <w:sz w:val="22"/>
          <w:szCs w:val="22"/>
        </w:rPr>
        <w:t xml:space="preserve">Reviewed under the guidance of: SAP FICO Domain Expert (20+ years' experience)</w:t>
      </w:r>
    </w:p>
    <w:p>
      <w:pPr>
        <w:spacing w:after="60"/>
        <w:jc w:val="center"/>
      </w:pPr>
      <w:r>
        <w:rPr>
          <w:color w:val="262626"/>
          <w:sz w:val="22"/>
          <w:szCs w:val="22"/>
        </w:rPr>
        <w:t xml:space="preserve">Date: September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8860B" w:sz="8" w:space="4"/>
        </w:pBdr>
        <w:spacing w:after="160" w:before="360"/>
      </w:pPr>
      <w:r>
        <w:rPr>
          <w:b/>
          <w:bCs/>
          <w:color w:val="1F3864"/>
          <w:sz w:val="28"/>
          <w:szCs w:val="28"/>
        </w:rPr>
        <w:t xml:space="preserve">Table of Contents</w:t>
      </w:r>
    </w:p>
    <w:p>
      <w:pPr>
        <w:spacing w:after="100"/>
      </w:pPr>
      <w:r>
        <w:rPr>
          <w:color w:val="262626"/>
          <w:sz w:val="22"/>
          <w:szCs w:val="22"/>
        </w:rPr>
        <w:t xml:space="preserve">1. Executive Summary</w:t>
      </w:r>
    </w:p>
    <w:p>
      <w:pPr>
        <w:spacing w:after="100"/>
      </w:pPr>
      <w:r>
        <w:rPr>
          <w:color w:val="262626"/>
          <w:sz w:val="22"/>
          <w:szCs w:val="22"/>
        </w:rPr>
        <w:t xml:space="preserve">2. Company Background</w:t>
      </w:r>
    </w:p>
    <w:p>
      <w:pPr>
        <w:spacing w:after="100"/>
      </w:pPr>
      <w:r>
        <w:rPr>
          <w:color w:val="262626"/>
          <w:sz w:val="22"/>
          <w:szCs w:val="22"/>
        </w:rPr>
        <w:t xml:space="preserve">3. Business Challenges Before SAP FICO</w:t>
      </w:r>
    </w:p>
    <w:p>
      <w:pPr>
        <w:spacing w:after="100"/>
      </w:pPr>
      <w:r>
        <w:rPr>
          <w:color w:val="262626"/>
          <w:sz w:val="22"/>
          <w:szCs w:val="22"/>
        </w:rPr>
        <w:t xml:space="preserve">4. Objectives of the SAP FICO Implementation</w:t>
      </w:r>
    </w:p>
    <w:p>
      <w:pPr>
        <w:spacing w:after="100"/>
      </w:pPr>
      <w:r>
        <w:rPr>
          <w:color w:val="262626"/>
          <w:sz w:val="22"/>
          <w:szCs w:val="22"/>
        </w:rPr>
        <w:t xml:space="preserve">5. Implementation Process</w:t>
      </w:r>
    </w:p>
    <w:p>
      <w:pPr>
        <w:spacing w:after="100"/>
      </w:pPr>
      <w:r>
        <w:rPr>
          <w:color w:val="262626"/>
          <w:sz w:val="22"/>
          <w:szCs w:val="22"/>
        </w:rPr>
        <w:t xml:space="preserve">6. Scope: Key FI and CO Components Configured</w:t>
      </w:r>
    </w:p>
    <w:p>
      <w:pPr>
        <w:spacing w:after="100"/>
      </w:pPr>
      <w:r>
        <w:rPr>
          <w:color w:val="262626"/>
          <w:sz w:val="22"/>
          <w:szCs w:val="22"/>
        </w:rPr>
        <w:t xml:space="preserve">7. Challenges Faced During Implementation</w:t>
      </w:r>
    </w:p>
    <w:p>
      <w:pPr>
        <w:spacing w:after="100"/>
      </w:pPr>
      <w:r>
        <w:rPr>
          <w:color w:val="262626"/>
          <w:sz w:val="22"/>
          <w:szCs w:val="22"/>
        </w:rPr>
        <w:t xml:space="preserve">8. Benefits Realized</w:t>
      </w:r>
    </w:p>
    <w:p>
      <w:pPr>
        <w:spacing w:after="100"/>
      </w:pPr>
      <w:r>
        <w:rPr>
          <w:color w:val="262626"/>
          <w:sz w:val="22"/>
          <w:szCs w:val="22"/>
        </w:rPr>
        <w:t xml:space="preserve">9. Key Success Factors and Lessons Learned</w:t>
      </w:r>
    </w:p>
    <w:p>
      <w:pPr>
        <w:spacing w:after="100"/>
      </w:pPr>
      <w:r>
        <w:rPr>
          <w:color w:val="262626"/>
          <w:sz w:val="22"/>
          <w:szCs w:val="22"/>
        </w:rPr>
        <w:t xml:space="preserve">10. Conclusion</w:t>
      </w:r>
    </w:p>
    <w:p>
      <w:pPr>
        <w:spacing w:after="100"/>
      </w:pPr>
      <w:r>
        <w:rPr>
          <w:color w:val="262626"/>
          <w:sz w:val="22"/>
          <w:szCs w:val="22"/>
        </w:rPr>
        <w:t xml:space="preserve">11. References</w:t>
      </w:r>
    </w:p>
    <w:p>
      <w:r>
        <w:br w:type="page"/>
      </w:r>
    </w:p>
    <w:p>
      <w:pPr>
        <w:pStyle w:val="Heading1"/>
        <w:pBdr>
          <w:bottom w:val="single" w:color="B8860B" w:sz="8" w:space="4"/>
        </w:pBdr>
        <w:spacing w:after="160" w:before="360"/>
      </w:pPr>
      <w:r>
        <w:rPr>
          <w:b/>
          <w:bCs/>
          <w:color w:val="1F3864"/>
          <w:sz w:val="28"/>
          <w:szCs w:val="28"/>
        </w:rPr>
        <w:t xml:space="preserve">1. Executive Summary</w:t>
      </w:r>
    </w:p>
    <w:p>
      <w:pPr>
        <w:spacing w:after="160" w:line="288"/>
        <w:jc w:val="both"/>
      </w:pPr>
      <w:r>
        <w:rPr>
          <w:color w:val="262626"/>
          <w:sz w:val="22"/>
          <w:szCs w:val="22"/>
        </w:rPr>
        <w:t xml:space="preserve">Colgate-Palmolive Company, a multinational consumer goods manufacturer operating in over 200 countries and territories, undertook one of the industry's longest-running and most extensive SAP implementations. Over more than a decade, the company progressively rolled out SAP ERP, anchored by the Financial Accounting and Controlling (FICO) module, to more than 100 countries representing over 99 percent of its global business. This case study examines why Colgate-Palmolive chose SAP FICO, how the implementation was executed, the obstacles the project team encountered, and the measurable business benefits that followed. The case illustrates how a global template approach to FI and CO can turn a fragmented, country-by-country finance landscape into a single source of financial truth that supports faster closing cycles, standardized reporting, and better decision-making.</w:t>
      </w:r>
    </w:p>
    <w:p>
      <w:pPr>
        <w:pStyle w:val="Heading1"/>
        <w:pBdr>
          <w:bottom w:val="single" w:color="B8860B" w:sz="8" w:space="4"/>
        </w:pBdr>
        <w:spacing w:after="160" w:before="360"/>
      </w:pPr>
      <w:r>
        <w:rPr>
          <w:b/>
          <w:bCs/>
          <w:color w:val="1F3864"/>
          <w:sz w:val="28"/>
          <w:szCs w:val="28"/>
        </w:rPr>
        <w:t xml:space="preserve">2. Company Background</w:t>
      </w:r>
    </w:p>
    <w:p>
      <w:pPr>
        <w:spacing w:after="160" w:line="288"/>
        <w:jc w:val="both"/>
      </w:pPr>
      <w:r>
        <w:rPr>
          <w:color w:val="262626"/>
          <w:sz w:val="22"/>
          <w:szCs w:val="22"/>
        </w:rPr>
        <w:t xml:space="preserve">Founded in 1806, Colgate-Palmolive is a Fortune 500 consumer products company headquartered in New York, USA, with well-known brands spanning oral care, personal care, home care, and pet nutrition (including Colgate, Palmolive, Speed Stick, Softsoap, and Hill's Pet Nutrition). The company manufactures and markets its products in over 200 countries and territories, employs tens of thousands of people worldwide, and reports net sales in the range of USD 19–20 billion annually.</w:t>
      </w:r>
    </w:p>
    <w:p>
      <w:pPr>
        <w:spacing w:after="160" w:line="288"/>
        <w:jc w:val="both"/>
      </w:pPr>
      <w:r>
        <w:rPr>
          <w:color w:val="262626"/>
          <w:sz w:val="22"/>
          <w:szCs w:val="22"/>
        </w:rPr>
        <w:t xml:space="preserve">Because Colgate-Palmolive grew through decades of international expansion and acquisitions, individual country and regional units historically ran on different, often homegrown or heavily customized, finance and accounting systems. As the company's global footprint expanded, this patchwork of systems became a strategic liability rather than an operational convenience.</w:t>
      </w:r>
    </w:p>
    <w:p>
      <w:pPr>
        <w:pStyle w:val="Heading1"/>
        <w:pBdr>
          <w:bottom w:val="single" w:color="B8860B" w:sz="8" w:space="4"/>
        </w:pBdr>
        <w:spacing w:after="160" w:before="360"/>
      </w:pPr>
      <w:r>
        <w:rPr>
          <w:b/>
          <w:bCs/>
          <w:color w:val="1F3864"/>
          <w:sz w:val="28"/>
          <w:szCs w:val="28"/>
        </w:rPr>
        <w:t xml:space="preserve">3. Business Challenges Before SAP FICO</w:t>
      </w:r>
    </w:p>
    <w:p>
      <w:pPr>
        <w:spacing w:after="160" w:line="288"/>
        <w:jc w:val="both"/>
      </w:pPr>
      <w:r>
        <w:rPr>
          <w:color w:val="262626"/>
          <w:sz w:val="22"/>
          <w:szCs w:val="22"/>
        </w:rPr>
        <w:t xml:space="preserve">Prior to standardizing on SAP, Colgate-Palmolive's finance function faced several recurring problems that are common to large, geographically dispersed organizations:</w:t>
      </w:r>
    </w:p>
    <w:p>
      <w:pPr>
        <w:pStyle w:val="ListParagraph"/>
        <w:numPr>
          <w:ilvl w:val="0"/>
          <w:numId w:val="2"/>
        </w:numPr>
        <w:spacing w:after="90" w:line="276"/>
      </w:pPr>
      <w:r>
        <w:rPr>
          <w:color w:val="262626"/>
          <w:sz w:val="22"/>
          <w:szCs w:val="22"/>
        </w:rPr>
        <w:t xml:space="preserve">Fragmented systems: Each country or region maintained its own chart of accounts, ledgers, and close procedures, making consolidation at the corporate level slow and labor-intensive.</w:t>
      </w:r>
    </w:p>
    <w:p>
      <w:pPr>
        <w:pStyle w:val="ListParagraph"/>
        <w:numPr>
          <w:ilvl w:val="0"/>
          <w:numId w:val="2"/>
        </w:numPr>
        <w:spacing w:after="90" w:line="276"/>
      </w:pPr>
      <w:r>
        <w:rPr>
          <w:color w:val="262626"/>
          <w:sz w:val="22"/>
          <w:szCs w:val="22"/>
        </w:rPr>
        <w:t xml:space="preserve">Manual reconciliation: Intercompany transactions and multi-currency postings had to be reconciled largely by hand, increasing the risk of errors and delaying month-end and year-end close.</w:t>
      </w:r>
    </w:p>
    <w:p>
      <w:pPr>
        <w:pStyle w:val="ListParagraph"/>
        <w:numPr>
          <w:ilvl w:val="0"/>
          <w:numId w:val="2"/>
        </w:numPr>
        <w:spacing w:after="90" w:line="276"/>
      </w:pPr>
      <w:r>
        <w:rPr>
          <w:color w:val="262626"/>
          <w:sz w:val="22"/>
          <w:szCs w:val="22"/>
        </w:rPr>
        <w:t xml:space="preserve">Limited real-time visibility: Corporate finance and regional controllers lacked a single, real-time view of profitability, cost centers, and cash position across markets.</w:t>
      </w:r>
    </w:p>
    <w:p>
      <w:pPr>
        <w:pStyle w:val="ListParagraph"/>
        <w:numPr>
          <w:ilvl w:val="0"/>
          <w:numId w:val="2"/>
        </w:numPr>
        <w:spacing w:after="90" w:line="276"/>
      </w:pPr>
      <w:r>
        <w:rPr>
          <w:color w:val="262626"/>
          <w:sz w:val="22"/>
          <w:szCs w:val="22"/>
        </w:rPr>
        <w:t xml:space="preserve">Inconsistent compliance: Supporting both US GAAP and local statutory/IFRS reporting requirements across dozens of jurisdictions was difficult without a common data model.</w:t>
      </w:r>
    </w:p>
    <w:p>
      <w:pPr>
        <w:pStyle w:val="ListParagraph"/>
        <w:numPr>
          <w:ilvl w:val="0"/>
          <w:numId w:val="2"/>
        </w:numPr>
        <w:spacing w:after="90" w:line="276"/>
      </w:pPr>
      <w:r>
        <w:rPr>
          <w:color w:val="262626"/>
          <w:sz w:val="22"/>
          <w:szCs w:val="22"/>
        </w:rPr>
        <w:t xml:space="preserve">High total cost of ownership (TCO): Maintaining numerous disparate legacy platforms and interfaces across markets was expensive to support, patch, and upgrade.</w:t>
      </w:r>
    </w:p>
    <w:p>
      <w:pPr>
        <w:pStyle w:val="ListParagraph"/>
        <w:numPr>
          <w:ilvl w:val="0"/>
          <w:numId w:val="2"/>
        </w:numPr>
        <w:spacing w:after="90" w:line="276"/>
      </w:pPr>
      <w:r>
        <w:rPr>
          <w:color w:val="262626"/>
          <w:sz w:val="22"/>
          <w:szCs w:val="22"/>
        </w:rPr>
        <w:t xml:space="preserve">Constraints on growth: As Colgate-Palmolive pursued acquisitions and entered new markets, onboarding each new entity onto a distinct legacy system slowed integration and delayed synergy capture.</w:t>
      </w:r>
    </w:p>
    <w:p>
      <w:pPr>
        <w:pStyle w:val="Heading1"/>
        <w:pBdr>
          <w:bottom w:val="single" w:color="B8860B" w:sz="8" w:space="4"/>
        </w:pBdr>
        <w:spacing w:after="160" w:before="360"/>
      </w:pPr>
      <w:r>
        <w:rPr>
          <w:b/>
          <w:bCs/>
          <w:color w:val="1F3864"/>
          <w:sz w:val="28"/>
          <w:szCs w:val="28"/>
        </w:rPr>
        <w:t xml:space="preserve">4. Objectives of the SAP FICO Implementation</w:t>
      </w:r>
    </w:p>
    <w:p>
      <w:pPr>
        <w:spacing w:after="160" w:line="288"/>
        <w:jc w:val="both"/>
      </w:pPr>
      <w:r>
        <w:rPr>
          <w:color w:val="262626"/>
          <w:sz w:val="22"/>
          <w:szCs w:val="22"/>
        </w:rPr>
        <w:t xml:space="preserve">Colgate-Palmolive's leadership defined a clear set of objectives to guide the SAP FICO rollout:</w:t>
      </w:r>
    </w:p>
    <w:p>
      <w:pPr>
        <w:pStyle w:val="ListParagraph"/>
        <w:numPr>
          <w:ilvl w:val="0"/>
          <w:numId w:val="2"/>
        </w:numPr>
        <w:spacing w:after="90" w:line="276"/>
      </w:pPr>
      <w:r>
        <w:rPr>
          <w:color w:val="262626"/>
          <w:sz w:val="22"/>
          <w:szCs w:val="22"/>
        </w:rPr>
        <w:t xml:space="preserve">Establish a single, global chart of accounts and a common finance data model across all operating entities.</w:t>
      </w:r>
    </w:p>
    <w:p>
      <w:pPr>
        <w:pStyle w:val="ListParagraph"/>
        <w:numPr>
          <w:ilvl w:val="0"/>
          <w:numId w:val="2"/>
        </w:numPr>
        <w:spacing w:after="90" w:line="276"/>
      </w:pPr>
      <w:r>
        <w:rPr>
          <w:color w:val="262626"/>
          <w:sz w:val="22"/>
          <w:szCs w:val="22"/>
        </w:rPr>
        <w:t xml:space="preserve">Centralize control over financial processes while retaining the flexibility to meet local statutory and tax requirements.</w:t>
      </w:r>
    </w:p>
    <w:p>
      <w:pPr>
        <w:pStyle w:val="ListParagraph"/>
        <w:numPr>
          <w:ilvl w:val="0"/>
          <w:numId w:val="2"/>
        </w:numPr>
        <w:spacing w:after="90" w:line="276"/>
      </w:pPr>
      <w:r>
        <w:rPr>
          <w:color w:val="262626"/>
          <w:sz w:val="22"/>
          <w:szCs w:val="22"/>
        </w:rPr>
        <w:t xml:space="preserve">Shorten the financial close cycle through automated postings, intercompany reconciliation, and integrated sub-ledgers.</w:t>
      </w:r>
    </w:p>
    <w:p>
      <w:pPr>
        <w:pStyle w:val="ListParagraph"/>
        <w:numPr>
          <w:ilvl w:val="0"/>
          <w:numId w:val="2"/>
        </w:numPr>
        <w:spacing w:after="90" w:line="276"/>
      </w:pPr>
      <w:r>
        <w:rPr>
          <w:color w:val="262626"/>
          <w:sz w:val="22"/>
          <w:szCs w:val="22"/>
        </w:rPr>
        <w:t xml:space="preserve">Improve management reporting through integrated Controlling (cost center, profit center, and profitability analysis) alongside statutory Financial Accounting.</w:t>
      </w:r>
    </w:p>
    <w:p>
      <w:pPr>
        <w:pStyle w:val="ListParagraph"/>
        <w:numPr>
          <w:ilvl w:val="0"/>
          <w:numId w:val="2"/>
        </w:numPr>
        <w:spacing w:after="90" w:line="276"/>
      </w:pPr>
      <w:r>
        <w:rPr>
          <w:color w:val="262626"/>
          <w:sz w:val="22"/>
          <w:szCs w:val="22"/>
        </w:rPr>
        <w:t xml:space="preserve">Reduce the total cost of IT ownership by retiring legacy country systems in favor of one global SAP template.</w:t>
      </w:r>
    </w:p>
    <w:p>
      <w:pPr>
        <w:pStyle w:val="ListParagraph"/>
        <w:numPr>
          <w:ilvl w:val="0"/>
          <w:numId w:val="2"/>
        </w:numPr>
        <w:spacing w:after="90" w:line="276"/>
      </w:pPr>
      <w:r>
        <w:rPr>
          <w:color w:val="262626"/>
          <w:sz w:val="22"/>
          <w:szCs w:val="22"/>
        </w:rPr>
        <w:t xml:space="preserve">Build a scalable finance platform that could absorb future acquisitions and new-market entries with minimal disruption.</w:t>
      </w:r>
    </w:p>
    <w:p>
      <w:pPr>
        <w:pStyle w:val="Heading1"/>
        <w:pBdr>
          <w:bottom w:val="single" w:color="B8860B" w:sz="8" w:space="4"/>
        </w:pBdr>
        <w:spacing w:after="160" w:before="360"/>
      </w:pPr>
      <w:r>
        <w:rPr>
          <w:b/>
          <w:bCs/>
          <w:color w:val="1F3864"/>
          <w:sz w:val="28"/>
          <w:szCs w:val="28"/>
        </w:rPr>
        <w:t xml:space="preserve">5. Implementation Process</w:t>
      </w:r>
    </w:p>
    <w:p>
      <w:pPr>
        <w:pStyle w:val="Heading2"/>
        <w:spacing w:after="120" w:before="260"/>
      </w:pPr>
      <w:r>
        <w:rPr>
          <w:b/>
          <w:bCs/>
          <w:color w:val="1F3864"/>
          <w:sz w:val="24"/>
          <w:szCs w:val="24"/>
        </w:rPr>
        <w:t xml:space="preserve">5.1 Methodology</w:t>
      </w:r>
    </w:p>
    <w:p>
      <w:pPr>
        <w:spacing w:after="160" w:line="288"/>
        <w:jc w:val="both"/>
      </w:pPr>
      <w:r>
        <w:rPr>
          <w:color w:val="262626"/>
          <w:sz w:val="22"/>
          <w:szCs w:val="22"/>
        </w:rPr>
        <w:t xml:space="preserve">Colgate-Palmolive adopted a global-template rollout strategy consistent with SAP's Accelerated SAP (ASAP) methodology. Rather than configuring FICO independently in each country, the project team built one standardized 'Colgate Global Template' for Financial Accounting and Controlling and then deployed it in successive waves across regions — a strategy commonly used by large multinationals to balance global standardization with the pace of local rollout. The company's SAP partnership spanned more than twelve years of continuous, phased deployment rather than a single 'big-bang' cutover, allowing lessons from early waves to improve later ones.</w:t>
      </w:r>
    </w:p>
    <w:p>
      <w:pPr>
        <w:pStyle w:val="Heading2"/>
        <w:spacing w:after="120" w:before="260"/>
      </w:pPr>
      <w:r>
        <w:rPr>
          <w:b/>
          <w:bCs/>
          <w:color w:val="1F3864"/>
          <w:sz w:val="24"/>
          <w:szCs w:val="24"/>
        </w:rPr>
        <w:t xml:space="preserve">5.2 Project Team Structure</w:t>
      </w:r>
    </w:p>
    <w:p>
      <w:pPr>
        <w:spacing w:after="160" w:line="288"/>
        <w:jc w:val="both"/>
      </w:pPr>
      <w:r>
        <w:rPr>
          <w:color w:val="262626"/>
          <w:sz w:val="22"/>
          <w:szCs w:val="22"/>
        </w:rPr>
        <w:t xml:space="preserve">The implementation was governed by a layered team structure typical of large ERP programs:</w:t>
      </w:r>
    </w:p>
    <w:p>
      <w:pPr>
        <w:pStyle w:val="ListParagraph"/>
        <w:numPr>
          <w:ilvl w:val="0"/>
          <w:numId w:val="2"/>
        </w:numPr>
        <w:spacing w:after="90" w:line="276"/>
      </w:pPr>
      <w:r>
        <w:rPr>
          <w:color w:val="262626"/>
          <w:sz w:val="22"/>
          <w:szCs w:val="22"/>
        </w:rPr>
        <w:t xml:space="preserve">Global Program Steering Committee: senior finance and IT executives (including the Global CIO organization) who set scope, budget, and priorities.</w:t>
      </w:r>
    </w:p>
    <w:p>
      <w:pPr>
        <w:pStyle w:val="ListParagraph"/>
        <w:numPr>
          <w:ilvl w:val="0"/>
          <w:numId w:val="2"/>
        </w:numPr>
        <w:spacing w:after="90" w:line="276"/>
      </w:pPr>
      <w:r>
        <w:rPr>
          <w:color w:val="262626"/>
          <w:sz w:val="22"/>
          <w:szCs w:val="22"/>
        </w:rPr>
        <w:t xml:space="preserve">Global Template Team: FICO solution architects and functional consultants who designed and owned the single global chart of accounts, controlling area structure, and standard configuration.</w:t>
      </w:r>
    </w:p>
    <w:p>
      <w:pPr>
        <w:pStyle w:val="ListParagraph"/>
        <w:numPr>
          <w:ilvl w:val="0"/>
          <w:numId w:val="2"/>
        </w:numPr>
        <w:spacing w:after="90" w:line="276"/>
      </w:pPr>
      <w:r>
        <w:rPr>
          <w:color w:val="262626"/>
          <w:sz w:val="22"/>
          <w:szCs w:val="22"/>
        </w:rPr>
        <w:t xml:space="preserve">Regional/Country Rollout Teams: local finance leads, key users, and consultants who adapted the template to statutory, tax, and language requirements for each wave of countries.</w:t>
      </w:r>
    </w:p>
    <w:p>
      <w:pPr>
        <w:pStyle w:val="ListParagraph"/>
        <w:numPr>
          <w:ilvl w:val="0"/>
          <w:numId w:val="2"/>
        </w:numPr>
        <w:spacing w:after="90" w:line="276"/>
      </w:pPr>
      <w:r>
        <w:rPr>
          <w:color w:val="262626"/>
          <w:sz w:val="22"/>
          <w:szCs w:val="22"/>
        </w:rPr>
        <w:t xml:space="preserve">Technical/Basis and Integration Team: responsible for landscape design, data migration, and integration with SD, MM, and PP modules feeding FI and CO.</w:t>
      </w:r>
    </w:p>
    <w:p>
      <w:pPr>
        <w:pStyle w:val="ListParagraph"/>
        <w:numPr>
          <w:ilvl w:val="0"/>
          <w:numId w:val="2"/>
        </w:numPr>
        <w:spacing w:after="90" w:line="276"/>
      </w:pPr>
      <w:r>
        <w:rPr>
          <w:color w:val="262626"/>
          <w:sz w:val="22"/>
          <w:szCs w:val="22"/>
        </w:rPr>
        <w:t xml:space="preserve">Change Management and Training Team: responsible for end-user readiness, training materials, and post-go-live support (hypercare).</w:t>
      </w:r>
    </w:p>
    <w:p>
      <w:pPr>
        <w:pStyle w:val="Heading2"/>
        <w:spacing w:after="120" w:before="260"/>
      </w:pPr>
      <w:r>
        <w:rPr>
          <w:b/>
          <w:bCs/>
          <w:color w:val="1F3864"/>
          <w:sz w:val="24"/>
          <w:szCs w:val="24"/>
        </w:rPr>
        <w:t xml:space="preserve">5.3 Implementation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00"/>
      </w:tblGrid>
      <w:tr>
        <w:trPr>
          <w:tblHeader/>
        </w:trPr>
        <w:tc>
          <w:tcPr>
            <w:tcW w:type="dxa" w:w="2400"/>
            <w:shd w:fill="1F3864" w:color="auto"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2000"/>
            <w:shd w:fill="1F3864" w:color="auto" w:val="clear"/>
            <w:tcMar>
              <w:top w:type="dxa" w:w="100"/>
              <w:left w:type="dxa" w:w="120"/>
              <w:bottom w:type="dxa" w:w="100"/>
              <w:right w:type="dxa" w:w="120"/>
            </w:tcMar>
            <w:vAlign w:val="center"/>
          </w:tcPr>
          <w:p>
            <w:pPr>
              <w:jc w:val="left"/>
            </w:pPr>
            <w:r>
              <w:rPr>
                <w:b/>
                <w:bCs/>
                <w:color w:val="FFFFFF"/>
                <w:sz w:val="20"/>
                <w:szCs w:val="20"/>
              </w:rPr>
              <w:t xml:space="preserve">Approx. Duration*</w:t>
            </w:r>
          </w:p>
        </w:tc>
        <w:tc>
          <w:tcPr>
            <w:tcW w:type="dxa" w:w="4600"/>
            <w:shd w:fill="1F3864" w:color="auto" w:val="clear"/>
            <w:tcMar>
              <w:top w:type="dxa" w:w="100"/>
              <w:left w:type="dxa" w:w="120"/>
              <w:bottom w:type="dxa" w:w="100"/>
              <w:right w:type="dxa" w:w="120"/>
            </w:tcMar>
            <w:vAlign w:val="center"/>
          </w:tcPr>
          <w:p>
            <w:pPr>
              <w:jc w:val="left"/>
            </w:pPr>
            <w:r>
              <w:rPr>
                <w:b/>
                <w:bCs/>
                <w:color w:val="FFFFFF"/>
                <w:sz w:val="20"/>
                <w:szCs w:val="20"/>
              </w:rPr>
              <w:t xml:space="preserve">Key Activities</w:t>
            </w:r>
          </w:p>
        </w:tc>
      </w:tr>
      <w:tr>
        <w:tc>
          <w:tcPr>
            <w:tcW w:type="dxa" w:w="2400"/>
            <w:shd w:fill="F2F2F2" w:color="auto" w:val="clear"/>
            <w:tcMar>
              <w:top w:type="dxa" w:w="100"/>
              <w:left w:type="dxa" w:w="120"/>
              <w:bottom w:type="dxa" w:w="100"/>
              <w:right w:type="dxa" w:w="120"/>
            </w:tcMar>
            <w:vAlign w:val="center"/>
          </w:tcPr>
          <w:p>
            <w:r>
              <w:rPr>
                <w:color w:val="262626"/>
                <w:sz w:val="20"/>
                <w:szCs w:val="20"/>
              </w:rPr>
              <w:t xml:space="preserve">Project Preparation</w:t>
            </w:r>
          </w:p>
        </w:tc>
        <w:tc>
          <w:tcPr>
            <w:tcW w:type="dxa" w:w="2000"/>
            <w:shd w:fill="F2F2F2" w:color="auto" w:val="clear"/>
            <w:tcMar>
              <w:top w:type="dxa" w:w="100"/>
              <w:left w:type="dxa" w:w="120"/>
              <w:bottom w:type="dxa" w:w="100"/>
              <w:right w:type="dxa" w:w="120"/>
            </w:tcMar>
            <w:vAlign w:val="center"/>
          </w:tcPr>
          <w:p>
            <w:r>
              <w:rPr>
                <w:color w:val="262626"/>
                <w:sz w:val="20"/>
                <w:szCs w:val="20"/>
              </w:rPr>
              <w:t xml:space="preserve">4–6 weeks</w:t>
            </w:r>
          </w:p>
        </w:tc>
        <w:tc>
          <w:tcPr>
            <w:tcW w:type="dxa" w:w="4600"/>
            <w:shd w:fill="F2F2F2" w:color="auto" w:val="clear"/>
            <w:tcMar>
              <w:top w:type="dxa" w:w="100"/>
              <w:left w:type="dxa" w:w="120"/>
              <w:bottom w:type="dxa" w:w="100"/>
              <w:right w:type="dxa" w:w="120"/>
            </w:tcMar>
            <w:vAlign w:val="center"/>
          </w:tcPr>
          <w:p>
            <w:r>
              <w:rPr>
                <w:color w:val="262626"/>
                <w:sz w:val="20"/>
                <w:szCs w:val="20"/>
              </w:rPr>
              <w:t xml:space="preserve">Define scope, governance, project charter, and global template principles for FI/CO.</w:t>
            </w:r>
          </w:p>
        </w:tc>
      </w:tr>
      <w:tr>
        <w:tc>
          <w:tcPr>
            <w:tcW w:type="dxa" w:w="2400"/>
            <w:shd w:fill="FFFFFF" w:color="auto" w:val="clear"/>
            <w:tcMar>
              <w:top w:type="dxa" w:w="100"/>
              <w:left w:type="dxa" w:w="120"/>
              <w:bottom w:type="dxa" w:w="100"/>
              <w:right w:type="dxa" w:w="120"/>
            </w:tcMar>
            <w:vAlign w:val="center"/>
          </w:tcPr>
          <w:p>
            <w:r>
              <w:rPr>
                <w:color w:val="262626"/>
                <w:sz w:val="20"/>
                <w:szCs w:val="20"/>
              </w:rPr>
              <w:t xml:space="preserve">Business Blueprint</w:t>
            </w:r>
          </w:p>
        </w:tc>
        <w:tc>
          <w:tcPr>
            <w:tcW w:type="dxa" w:w="2000"/>
            <w:shd w:fill="FFFFFF" w:color="auto" w:val="clear"/>
            <w:tcMar>
              <w:top w:type="dxa" w:w="100"/>
              <w:left w:type="dxa" w:w="120"/>
              <w:bottom w:type="dxa" w:w="100"/>
              <w:right w:type="dxa" w:w="120"/>
            </w:tcMar>
            <w:vAlign w:val="center"/>
          </w:tcPr>
          <w:p>
            <w:r>
              <w:rPr>
                <w:color w:val="262626"/>
                <w:sz w:val="20"/>
                <w:szCs w:val="20"/>
              </w:rPr>
              <w:t xml:space="preserve">8–12 weeks</w:t>
            </w:r>
          </w:p>
        </w:tc>
        <w:tc>
          <w:tcPr>
            <w:tcW w:type="dxa" w:w="4600"/>
            <w:shd w:fill="FFFFFF" w:color="auto" w:val="clear"/>
            <w:tcMar>
              <w:top w:type="dxa" w:w="100"/>
              <w:left w:type="dxa" w:w="120"/>
              <w:bottom w:type="dxa" w:w="100"/>
              <w:right w:type="dxa" w:w="120"/>
            </w:tcMar>
            <w:vAlign w:val="center"/>
          </w:tcPr>
          <w:p>
            <w:r>
              <w:rPr>
                <w:color w:val="262626"/>
                <w:sz w:val="20"/>
                <w:szCs w:val="20"/>
              </w:rPr>
              <w:t xml:space="preserve">Document current-state processes per region; design the global chart of accounts, controlling area, and to-be FI/CO process flows.</w:t>
            </w:r>
          </w:p>
        </w:tc>
      </w:tr>
      <w:tr>
        <w:tc>
          <w:tcPr>
            <w:tcW w:type="dxa" w:w="2400"/>
            <w:shd w:fill="F2F2F2" w:color="auto" w:val="clear"/>
            <w:tcMar>
              <w:top w:type="dxa" w:w="100"/>
              <w:left w:type="dxa" w:w="120"/>
              <w:bottom w:type="dxa" w:w="100"/>
              <w:right w:type="dxa" w:w="120"/>
            </w:tcMar>
            <w:vAlign w:val="center"/>
          </w:tcPr>
          <w:p>
            <w:r>
              <w:rPr>
                <w:color w:val="262626"/>
                <w:sz w:val="20"/>
                <w:szCs w:val="20"/>
              </w:rPr>
              <w:t xml:space="preserve">Realization</w:t>
            </w:r>
          </w:p>
        </w:tc>
        <w:tc>
          <w:tcPr>
            <w:tcW w:type="dxa" w:w="2000"/>
            <w:shd w:fill="F2F2F2" w:color="auto" w:val="clear"/>
            <w:tcMar>
              <w:top w:type="dxa" w:w="100"/>
              <w:left w:type="dxa" w:w="120"/>
              <w:bottom w:type="dxa" w:w="100"/>
              <w:right w:type="dxa" w:w="120"/>
            </w:tcMar>
            <w:vAlign w:val="center"/>
          </w:tcPr>
          <w:p>
            <w:r>
              <w:rPr>
                <w:color w:val="262626"/>
                <w:sz w:val="20"/>
                <w:szCs w:val="20"/>
              </w:rPr>
              <w:t xml:space="preserve">3–4 months</w:t>
            </w:r>
          </w:p>
        </w:tc>
        <w:tc>
          <w:tcPr>
            <w:tcW w:type="dxa" w:w="4600"/>
            <w:shd w:fill="F2F2F2" w:color="auto" w:val="clear"/>
            <w:tcMar>
              <w:top w:type="dxa" w:w="100"/>
              <w:left w:type="dxa" w:w="120"/>
              <w:bottom w:type="dxa" w:w="100"/>
              <w:right w:type="dxa" w:w="120"/>
            </w:tcMar>
            <w:vAlign w:val="center"/>
          </w:tcPr>
          <w:p>
            <w:r>
              <w:rPr>
                <w:color w:val="262626"/>
                <w:sz w:val="20"/>
                <w:szCs w:val="20"/>
              </w:rPr>
              <w:t xml:space="preserve">Configure GL, AP, AR, Asset Accounting, Bank Accounting, Cost Center/Profit Center Accounting, Internal Orders, Product Costing and COPA; build integration with SD/MM/PP; unit and integration testing.</w:t>
            </w:r>
          </w:p>
        </w:tc>
      </w:tr>
      <w:tr>
        <w:tc>
          <w:tcPr>
            <w:tcW w:type="dxa" w:w="2400"/>
            <w:shd w:fill="FFFFFF" w:color="auto" w:val="clear"/>
            <w:tcMar>
              <w:top w:type="dxa" w:w="100"/>
              <w:left w:type="dxa" w:w="120"/>
              <w:bottom w:type="dxa" w:w="100"/>
              <w:right w:type="dxa" w:w="120"/>
            </w:tcMar>
            <w:vAlign w:val="center"/>
          </w:tcPr>
          <w:p>
            <w:r>
              <w:rPr>
                <w:color w:val="262626"/>
                <w:sz w:val="20"/>
                <w:szCs w:val="20"/>
              </w:rPr>
              <w:t xml:space="preserve">Final Preparation</w:t>
            </w:r>
          </w:p>
        </w:tc>
        <w:tc>
          <w:tcPr>
            <w:tcW w:type="dxa" w:w="2000"/>
            <w:shd w:fill="FFFFFF" w:color="auto" w:val="clear"/>
            <w:tcMar>
              <w:top w:type="dxa" w:w="100"/>
              <w:left w:type="dxa" w:w="120"/>
              <w:bottom w:type="dxa" w:w="100"/>
              <w:right w:type="dxa" w:w="120"/>
            </w:tcMar>
            <w:vAlign w:val="center"/>
          </w:tcPr>
          <w:p>
            <w:r>
              <w:rPr>
                <w:color w:val="262626"/>
                <w:sz w:val="20"/>
                <w:szCs w:val="20"/>
              </w:rPr>
              <w:t xml:space="preserve">4–6 weeks</w:t>
            </w:r>
          </w:p>
        </w:tc>
        <w:tc>
          <w:tcPr>
            <w:tcW w:type="dxa" w:w="4600"/>
            <w:shd w:fill="FFFFFF" w:color="auto" w:val="clear"/>
            <w:tcMar>
              <w:top w:type="dxa" w:w="100"/>
              <w:left w:type="dxa" w:w="120"/>
              <w:bottom w:type="dxa" w:w="100"/>
              <w:right w:type="dxa" w:w="120"/>
            </w:tcMar>
            <w:vAlign w:val="center"/>
          </w:tcPr>
          <w:p>
            <w:r>
              <w:rPr>
                <w:color w:val="262626"/>
                <w:sz w:val="20"/>
                <w:szCs w:val="20"/>
              </w:rPr>
              <w:t xml:space="preserve">End-user training, data migration (master and balance data), cutover rehearsal, and user acceptance testing (UAT) for the rollout wave.</w:t>
            </w:r>
          </w:p>
        </w:tc>
      </w:tr>
      <w:tr>
        <w:tc>
          <w:tcPr>
            <w:tcW w:type="dxa" w:w="2400"/>
            <w:shd w:fill="F2F2F2" w:color="auto" w:val="clear"/>
            <w:tcMar>
              <w:top w:type="dxa" w:w="100"/>
              <w:left w:type="dxa" w:w="120"/>
              <w:bottom w:type="dxa" w:w="100"/>
              <w:right w:type="dxa" w:w="120"/>
            </w:tcMar>
            <w:vAlign w:val="center"/>
          </w:tcPr>
          <w:p>
            <w:r>
              <w:rPr>
                <w:color w:val="262626"/>
                <w:sz w:val="20"/>
                <w:szCs w:val="20"/>
              </w:rPr>
              <w:t xml:space="preserve">Go-Live &amp; Support</w:t>
            </w:r>
          </w:p>
        </w:tc>
        <w:tc>
          <w:tcPr>
            <w:tcW w:type="dxa" w:w="2000"/>
            <w:shd w:fill="F2F2F2" w:color="auto" w:val="clear"/>
            <w:tcMar>
              <w:top w:type="dxa" w:w="100"/>
              <w:left w:type="dxa" w:w="120"/>
              <w:bottom w:type="dxa" w:w="100"/>
              <w:right w:type="dxa" w:w="120"/>
            </w:tcMar>
            <w:vAlign w:val="center"/>
          </w:tcPr>
          <w:p>
            <w:r>
              <w:rPr>
                <w:color w:val="262626"/>
                <w:sz w:val="20"/>
                <w:szCs w:val="20"/>
              </w:rPr>
              <w:t xml:space="preserve">4–8 weeks</w:t>
            </w:r>
          </w:p>
        </w:tc>
        <w:tc>
          <w:tcPr>
            <w:tcW w:type="dxa" w:w="4600"/>
            <w:shd w:fill="F2F2F2" w:color="auto" w:val="clear"/>
            <w:tcMar>
              <w:top w:type="dxa" w:w="100"/>
              <w:left w:type="dxa" w:w="120"/>
              <w:bottom w:type="dxa" w:w="100"/>
              <w:right w:type="dxa" w:w="120"/>
            </w:tcMar>
            <w:vAlign w:val="center"/>
          </w:tcPr>
          <w:p>
            <w:r>
              <w:rPr>
                <w:color w:val="262626"/>
                <w:sz w:val="20"/>
                <w:szCs w:val="20"/>
              </w:rPr>
              <w:t xml:space="preserve">Cutover to production, legacy system decommission for the wave, hypercare support, and stabilization before the next country wave begins.</w:t>
            </w:r>
          </w:p>
        </w:tc>
      </w:tr>
    </w:tbl>
    <w:p>
      <w:pPr>
        <w:spacing w:after="240" w:before="60"/>
      </w:pPr>
      <w:r>
        <w:rPr>
          <w:i/>
          <w:iCs/>
          <w:color w:val="595959"/>
          <w:sz w:val="18"/>
          <w:szCs w:val="18"/>
        </w:rPr>
        <w:t xml:space="preserve">*Durations are indicative per country/regional rollout wave; the overall global program spanned more than a decade across 100+ countries.</w:t>
      </w:r>
    </w:p>
    <w:p>
      <w:pPr>
        <w:pStyle w:val="Heading2"/>
        <w:spacing w:after="120" w:before="260"/>
      </w:pPr>
      <w:r>
        <w:rPr>
          <w:b/>
          <w:bCs/>
          <w:color w:val="1F3864"/>
          <w:sz w:val="24"/>
          <w:szCs w:val="24"/>
        </w:rPr>
        <w:t xml:space="preserve">5.4 Data Migration and Integration</w:t>
      </w:r>
    </w:p>
    <w:p>
      <w:pPr>
        <w:spacing w:after="160" w:line="288"/>
        <w:jc w:val="both"/>
      </w:pPr>
      <w:r>
        <w:rPr>
          <w:color w:val="262626"/>
          <w:sz w:val="22"/>
          <w:szCs w:val="22"/>
        </w:rPr>
        <w:t xml:space="preserve">Each rollout wave required migrating chart-of-accounts mappings, open items, asset master data, vendor and customer master records, and historical balances from the legacy system into the SAP FICO template. FICO was tightly integrated with Sales &amp; Distribution (SD) for revenue recognition, Materials Management (MM) for procurement and inventory valuation, and Production Planning (PP) for product costing — ensuring that a single financial posting flowed automatically from operational transactions rather than requiring manual journal entries.</w:t>
      </w:r>
    </w:p>
    <w:p>
      <w:r>
        <w:br w:type="page"/>
      </w:r>
    </w:p>
    <w:p>
      <w:pPr>
        <w:pStyle w:val="Heading1"/>
        <w:pBdr>
          <w:bottom w:val="single" w:color="B8860B" w:sz="8" w:space="4"/>
        </w:pBdr>
        <w:spacing w:after="160" w:before="360"/>
      </w:pPr>
      <w:r>
        <w:rPr>
          <w:b/>
          <w:bCs/>
          <w:color w:val="1F3864"/>
          <w:sz w:val="28"/>
          <w:szCs w:val="28"/>
        </w:rPr>
        <w:t xml:space="preserve">6. Scope: Key FI and CO Components Configured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100"/>
              <w:left w:type="dxa" w:w="120"/>
              <w:bottom w:type="dxa" w:w="100"/>
              <w:right w:type="dxa" w:w="120"/>
            </w:tcMar>
            <w:vAlign w:val="center"/>
          </w:tcPr>
          <w:p>
            <w:pPr>
              <w:jc w:val="left"/>
            </w:pPr>
            <w:r>
              <w:rPr>
                <w:b/>
                <w:bCs/>
                <w:color w:val="FFFFFF"/>
                <w:sz w:val="20"/>
                <w:szCs w:val="20"/>
              </w:rPr>
              <w:t xml:space="preserve">Module Area</w:t>
            </w:r>
          </w:p>
        </w:tc>
        <w:tc>
          <w:tcPr>
            <w:tcW w:type="dxa" w:w="6000"/>
            <w:shd w:fill="1F3864" w:color="auto" w:val="clear"/>
            <w:tcMar>
              <w:top w:type="dxa" w:w="100"/>
              <w:left w:type="dxa" w:w="120"/>
              <w:bottom w:type="dxa" w:w="100"/>
              <w:right w:type="dxa" w:w="120"/>
            </w:tcMar>
            <w:vAlign w:val="center"/>
          </w:tcPr>
          <w:p>
            <w:pPr>
              <w:jc w:val="left"/>
            </w:pPr>
            <w:r>
              <w:rPr>
                <w:b/>
                <w:bCs/>
                <w:color w:val="FFFFFF"/>
                <w:sz w:val="20"/>
                <w:szCs w:val="20"/>
              </w:rPr>
              <w:t xml:space="preserve">Components Configured</w:t>
            </w:r>
          </w:p>
        </w:tc>
      </w:tr>
      <w:tr>
        <w:tc>
          <w:tcPr>
            <w:tcW w:type="dxa" w:w="3000"/>
            <w:shd w:fill="F2F2F2" w:color="auto" w:val="clear"/>
            <w:tcMar>
              <w:top w:type="dxa" w:w="100"/>
              <w:left w:type="dxa" w:w="120"/>
              <w:bottom w:type="dxa" w:w="100"/>
              <w:right w:type="dxa" w:w="120"/>
            </w:tcMar>
            <w:vAlign w:val="center"/>
          </w:tcPr>
          <w:p>
            <w:r>
              <w:rPr>
                <w:color w:val="262626"/>
                <w:sz w:val="20"/>
                <w:szCs w:val="20"/>
              </w:rPr>
              <w:t xml:space="preserve">Financial Accounting (FI)</w:t>
            </w:r>
          </w:p>
        </w:tc>
        <w:tc>
          <w:tcPr>
            <w:tcW w:type="dxa" w:w="6000"/>
            <w:shd w:fill="F2F2F2" w:color="auto" w:val="clear"/>
            <w:tcMar>
              <w:top w:type="dxa" w:w="100"/>
              <w:left w:type="dxa" w:w="120"/>
              <w:bottom w:type="dxa" w:w="100"/>
              <w:right w:type="dxa" w:w="120"/>
            </w:tcMar>
            <w:vAlign w:val="center"/>
          </w:tcPr>
          <w:p>
            <w:r>
              <w:rPr>
                <w:color w:val="262626"/>
                <w:sz w:val="20"/>
                <w:szCs w:val="20"/>
              </w:rPr>
              <w:t xml:space="preserve">General Ledger (GL), Accounts Payable (AP), Accounts Receivable (AR), Asset Accounting (AA), Bank Accounting, Tax configuration for local statutory needs</w:t>
            </w:r>
          </w:p>
        </w:tc>
      </w:tr>
      <w:tr>
        <w:tc>
          <w:tcPr>
            <w:tcW w:type="dxa" w:w="3000"/>
            <w:shd w:fill="FFFFFF" w:color="auto" w:val="clear"/>
            <w:tcMar>
              <w:top w:type="dxa" w:w="100"/>
              <w:left w:type="dxa" w:w="120"/>
              <w:bottom w:type="dxa" w:w="100"/>
              <w:right w:type="dxa" w:w="120"/>
            </w:tcMar>
            <w:vAlign w:val="center"/>
          </w:tcPr>
          <w:p>
            <w:r>
              <w:rPr>
                <w:color w:val="262626"/>
                <w:sz w:val="20"/>
                <w:szCs w:val="20"/>
              </w:rPr>
              <w:t xml:space="preserve">Controlling (CO)</w:t>
            </w:r>
          </w:p>
        </w:tc>
        <w:tc>
          <w:tcPr>
            <w:tcW w:type="dxa" w:w="6000"/>
            <w:shd w:fill="FFFFFF" w:color="auto" w:val="clear"/>
            <w:tcMar>
              <w:top w:type="dxa" w:w="100"/>
              <w:left w:type="dxa" w:w="120"/>
              <w:bottom w:type="dxa" w:w="100"/>
              <w:right w:type="dxa" w:w="120"/>
            </w:tcMar>
            <w:vAlign w:val="center"/>
          </w:tcPr>
          <w:p>
            <w:r>
              <w:rPr>
                <w:color w:val="262626"/>
                <w:sz w:val="20"/>
                <w:szCs w:val="20"/>
              </w:rPr>
              <w:t xml:space="preserve">Cost Center Accounting, Profit Center Accounting, Internal Orders, Product Costing, Profitability Analysis (COPA)</w:t>
            </w:r>
          </w:p>
        </w:tc>
      </w:tr>
      <w:tr>
        <w:tc>
          <w:tcPr>
            <w:tcW w:type="dxa" w:w="3000"/>
            <w:shd w:fill="F2F2F2" w:color="auto" w:val="clear"/>
            <w:tcMar>
              <w:top w:type="dxa" w:w="100"/>
              <w:left w:type="dxa" w:w="120"/>
              <w:bottom w:type="dxa" w:w="100"/>
              <w:right w:type="dxa" w:w="120"/>
            </w:tcMar>
            <w:vAlign w:val="center"/>
          </w:tcPr>
          <w:p>
            <w:r>
              <w:rPr>
                <w:color w:val="262626"/>
                <w:sz w:val="20"/>
                <w:szCs w:val="20"/>
              </w:rPr>
              <w:t xml:space="preserve">Cross-module Integration</w:t>
            </w:r>
          </w:p>
        </w:tc>
        <w:tc>
          <w:tcPr>
            <w:tcW w:type="dxa" w:w="6000"/>
            <w:shd w:fill="F2F2F2" w:color="auto" w:val="clear"/>
            <w:tcMar>
              <w:top w:type="dxa" w:w="100"/>
              <w:left w:type="dxa" w:w="120"/>
              <w:bottom w:type="dxa" w:w="100"/>
              <w:right w:type="dxa" w:w="120"/>
            </w:tcMar>
            <w:vAlign w:val="center"/>
          </w:tcPr>
          <w:p>
            <w:r>
              <w:rPr>
                <w:color w:val="262626"/>
                <w:sz w:val="20"/>
                <w:szCs w:val="20"/>
              </w:rPr>
              <w:t xml:space="preserve">SD-FI (billing to revenue), MM-FI (procure-to-pay and inventory valuation), PP-CO (production cost flows)</w:t>
            </w:r>
          </w:p>
        </w:tc>
      </w:tr>
      <w:tr>
        <w:tc>
          <w:tcPr>
            <w:tcW w:type="dxa" w:w="3000"/>
            <w:shd w:fill="FFFFFF" w:color="auto" w:val="clear"/>
            <w:tcMar>
              <w:top w:type="dxa" w:w="100"/>
              <w:left w:type="dxa" w:w="120"/>
              <w:bottom w:type="dxa" w:w="100"/>
              <w:right w:type="dxa" w:w="120"/>
            </w:tcMar>
            <w:vAlign w:val="center"/>
          </w:tcPr>
          <w:p>
            <w:r>
              <w:rPr>
                <w:color w:val="262626"/>
                <w:sz w:val="20"/>
                <w:szCs w:val="20"/>
              </w:rPr>
              <w:t xml:space="preserve">Reporting Layer</w:t>
            </w:r>
          </w:p>
        </w:tc>
        <w:tc>
          <w:tcPr>
            <w:tcW w:type="dxa" w:w="6000"/>
            <w:shd w:fill="FFFFFF" w:color="auto" w:val="clear"/>
            <w:tcMar>
              <w:top w:type="dxa" w:w="100"/>
              <w:left w:type="dxa" w:w="120"/>
              <w:bottom w:type="dxa" w:w="100"/>
              <w:right w:type="dxa" w:w="120"/>
            </w:tcMar>
            <w:vAlign w:val="center"/>
          </w:tcPr>
          <w:p>
            <w:r>
              <w:rPr>
                <w:color w:val="262626"/>
                <w:sz w:val="20"/>
                <w:szCs w:val="20"/>
              </w:rPr>
              <w:t xml:space="preserve">Standard SAP financial statement reporting plus SAP BusinessObjects/BI for consolidated management reporting</w:t>
            </w:r>
          </w:p>
        </w:tc>
      </w:tr>
    </w:tbl>
    <w:p>
      <w:pPr>
        <w:pStyle w:val="Heading1"/>
        <w:pBdr>
          <w:bottom w:val="single" w:color="B8860B" w:sz="8" w:space="4"/>
        </w:pBdr>
        <w:spacing w:after="160" w:before="360"/>
      </w:pPr>
      <w:r>
        <w:rPr>
          <w:b/>
          <w:bCs/>
          <w:color w:val="1F3864"/>
          <w:sz w:val="28"/>
          <w:szCs w:val="28"/>
        </w:rPr>
        <w:t xml:space="preserve">7. Challenges Faced During Implementation</w:t>
      </w:r>
    </w:p>
    <w:p>
      <w:pPr>
        <w:spacing w:after="160" w:line="288"/>
        <w:jc w:val="both"/>
      </w:pPr>
      <w:r>
        <w:rPr>
          <w:color w:val="262626"/>
          <w:sz w:val="22"/>
          <w:szCs w:val="22"/>
        </w:rPr>
        <w:t xml:space="preserve">A program of this scale and duration was not without difficulty. The most significant challenges included:</w:t>
      </w:r>
    </w:p>
    <w:p>
      <w:pPr>
        <w:pStyle w:val="ListParagraph"/>
        <w:numPr>
          <w:ilvl w:val="0"/>
          <w:numId w:val="2"/>
        </w:numPr>
        <w:spacing w:after="90" w:line="276"/>
      </w:pPr>
      <w:r>
        <w:rPr>
          <w:color w:val="262626"/>
          <w:sz w:val="22"/>
          <w:szCs w:val="22"/>
        </w:rPr>
        <w:t xml:space="preserve">Balancing global standardization with local needs: Designing a single chart of accounts and controlling structure that still satisfied local statutory, tax, and regulatory requirements in every country required careful governance.</w:t>
      </w:r>
    </w:p>
    <w:p>
      <w:pPr>
        <w:pStyle w:val="ListParagraph"/>
        <w:numPr>
          <w:ilvl w:val="0"/>
          <w:numId w:val="2"/>
        </w:numPr>
        <w:spacing w:after="90" w:line="276"/>
      </w:pPr>
      <w:r>
        <w:rPr>
          <w:color w:val="262626"/>
          <w:sz w:val="22"/>
          <w:szCs w:val="22"/>
        </w:rPr>
        <w:t xml:space="preserve">Change management across cultures: Rolling out a common template across markets with different languages, business practices, and levels of ERP maturity demanded significant local training and communication.</w:t>
      </w:r>
    </w:p>
    <w:p>
      <w:pPr>
        <w:pStyle w:val="ListParagraph"/>
        <w:numPr>
          <w:ilvl w:val="0"/>
          <w:numId w:val="2"/>
        </w:numPr>
        <w:spacing w:after="90" w:line="276"/>
      </w:pPr>
      <w:r>
        <w:rPr>
          <w:color w:val="262626"/>
          <w:sz w:val="22"/>
          <w:szCs w:val="22"/>
        </w:rPr>
        <w:t xml:space="preserve">Data quality and migration: Consolidating master data (vendors, customers, assets, cost centers) from many disparate legacy systems into one clean, de-duplicated data set was time-consuming.</w:t>
      </w:r>
    </w:p>
    <w:p>
      <w:pPr>
        <w:pStyle w:val="ListParagraph"/>
        <w:numPr>
          <w:ilvl w:val="0"/>
          <w:numId w:val="2"/>
        </w:numPr>
        <w:spacing w:after="90" w:line="276"/>
      </w:pPr>
      <w:r>
        <w:rPr>
          <w:color w:val="262626"/>
          <w:sz w:val="22"/>
          <w:szCs w:val="22"/>
        </w:rPr>
        <w:t xml:space="preserve">Resource coordination across waves: Running successive country rollouts while continuing to support markets already live required disciplined resource planning and knowledge transfer between waves.</w:t>
      </w:r>
    </w:p>
    <w:p>
      <w:pPr>
        <w:pStyle w:val="ListParagraph"/>
        <w:numPr>
          <w:ilvl w:val="0"/>
          <w:numId w:val="2"/>
        </w:numPr>
        <w:spacing w:after="90" w:line="276"/>
      </w:pPr>
      <w:r>
        <w:rPr>
          <w:color w:val="262626"/>
          <w:sz w:val="22"/>
          <w:szCs w:val="22"/>
        </w:rPr>
        <w:t xml:space="preserve">Sustaining momentum over a multi-year program: Keeping the business case and executive sponsorship alive over a program spanning more than a decade required regular demonstration of interim benefits.</w:t>
      </w:r>
    </w:p>
    <w:p>
      <w:pPr>
        <w:pStyle w:val="Heading1"/>
        <w:pBdr>
          <w:bottom w:val="single" w:color="B8860B" w:sz="8" w:space="4"/>
        </w:pBdr>
        <w:spacing w:after="160" w:before="360"/>
      </w:pPr>
      <w:r>
        <w:rPr>
          <w:b/>
          <w:bCs/>
          <w:color w:val="1F3864"/>
          <w:sz w:val="28"/>
          <w:szCs w:val="28"/>
        </w:rPr>
        <w:t xml:space="preserve">8. Benefits Realized</w:t>
      </w:r>
    </w:p>
    <w:p>
      <w:pPr>
        <w:spacing w:after="160" w:line="288"/>
        <w:jc w:val="both"/>
      </w:pPr>
      <w:r>
        <w:rPr>
          <w:color w:val="262626"/>
          <w:sz w:val="22"/>
          <w:szCs w:val="22"/>
        </w:rPr>
        <w:t xml:space="preserve">Once live, the standardized SAP FICO template delivered benefits across financial control, reporting speed, and cost efficiency: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6400"/>
            <w:shd w:fill="1F3864" w:color="auto" w:val="clear"/>
            <w:tcMar>
              <w:top w:type="dxa" w:w="100"/>
              <w:left w:type="dxa" w:w="120"/>
              <w:bottom w:type="dxa" w:w="100"/>
              <w:right w:type="dxa" w:w="120"/>
            </w:tcMar>
            <w:vAlign w:val="center"/>
          </w:tcPr>
          <w:p>
            <w:pPr>
              <w:jc w:val="left"/>
            </w:pPr>
            <w:r>
              <w:rPr>
                <w:b/>
                <w:bCs/>
                <w:color w:val="FFFFFF"/>
                <w:sz w:val="20"/>
                <w:szCs w:val="20"/>
              </w:rPr>
              <w:t xml:space="preserve">Benefit Realized</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Global consolidation</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A single, harmonized chart of accounts across markets consolidated financial and accounting information — including P&amp;L reporting — enabling faster group-level consolidation.</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Reporting &amp; visibility</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Harmonization of customer service and finance data across regions gave management a consistent, near real-time view of performance across countries.</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Total cost of ownership</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Retiring numerous legacy country systems in favor of one global template reduced ongoing IT maintenance and hardware support costs.</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Payback period</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Countries consolidating onto the global template achieved payback on the consolidation investment within roughly a year in several documented cases.</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Infrastructure efficiency</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As the SAP landscape matured, supporting infrastructure optimizations (such as database compression on the underlying platform) exceeded original targets — for example, one initiative that targeted about 40% compression achieved roughly 60% in practice, reducing storage and data-maintenance overhead for the finance systems.</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Scalability for growth</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The global template model let Colgate-Palmolive onboard new acquisitions and enter new markets by extending an existing, proven configuration rather than building finance systems from scratch.</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Partnership maturity</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The FICO rollout anchored a long-term, expanding SAP relationship that later extended into trade promotion management, HR (SAP ERP HCM), CRM, and SRM — showing how a solid financial core supports broader digital transformation.</w:t>
            </w:r>
          </w:p>
        </w:tc>
      </w:tr>
    </w:tbl>
    <w:p>
      <w:pPr>
        <w:spacing w:after="160" w:line="288"/>
        <w:jc w:val="both"/>
      </w:pPr>
      <w:r>
        <w:rPr>
          <w:color w:val="262626"/>
          <w:sz w:val="22"/>
          <w:szCs w:val="22"/>
        </w:rPr>
        <w:t xml:space="preserve">Taken together, these outcomes reflect the central promise of SAP FICO at enterprise scale: replacing fragmented, manually reconciled finance operations with one integrated system of record that closes faster, reports more consistently, and costs less to run over time.</w:t>
      </w:r>
    </w:p>
    <w:p>
      <w:pPr>
        <w:pStyle w:val="Heading1"/>
        <w:pBdr>
          <w:bottom w:val="single" w:color="B8860B" w:sz="8" w:space="4"/>
        </w:pBdr>
        <w:spacing w:after="160" w:before="360"/>
      </w:pPr>
      <w:r>
        <w:rPr>
          <w:b/>
          <w:bCs/>
          <w:color w:val="1F3864"/>
          <w:sz w:val="28"/>
          <w:szCs w:val="28"/>
        </w:rPr>
        <w:t xml:space="preserve">9. Key Success Factors and Lessons Learned</w:t>
      </w:r>
    </w:p>
    <w:p>
      <w:pPr>
        <w:pStyle w:val="ListParagraph"/>
        <w:numPr>
          <w:ilvl w:val="0"/>
          <w:numId w:val="2"/>
        </w:numPr>
        <w:spacing w:after="90" w:line="276"/>
      </w:pPr>
      <w:r>
        <w:rPr>
          <w:color w:val="262626"/>
          <w:sz w:val="22"/>
          <w:szCs w:val="22"/>
        </w:rPr>
        <w:t xml:space="preserve">Invest early in a global template: Designing one well-governed chart of accounts and controlling structure before rollout avoided costly rework in later country waves.</w:t>
      </w:r>
    </w:p>
    <w:p>
      <w:pPr>
        <w:pStyle w:val="ListParagraph"/>
        <w:numPr>
          <w:ilvl w:val="0"/>
          <w:numId w:val="2"/>
        </w:numPr>
        <w:spacing w:after="90" w:line="276"/>
      </w:pPr>
      <w:r>
        <w:rPr>
          <w:color w:val="262626"/>
          <w:sz w:val="22"/>
          <w:szCs w:val="22"/>
        </w:rPr>
        <w:t xml:space="preserve">Use a phased, wave-based rollout: Deploying region by region allowed the project team to learn from early go-lives and continuously improve the template and cutover playbook.</w:t>
      </w:r>
    </w:p>
    <w:p>
      <w:pPr>
        <w:pStyle w:val="ListParagraph"/>
        <w:numPr>
          <w:ilvl w:val="0"/>
          <w:numId w:val="2"/>
        </w:numPr>
        <w:spacing w:after="90" w:line="276"/>
      </w:pPr>
      <w:r>
        <w:rPr>
          <w:color w:val="262626"/>
          <w:sz w:val="22"/>
          <w:szCs w:val="22"/>
        </w:rPr>
        <w:t xml:space="preserve">Treat data quality as a first-class workstream: Master data cleansing and governance were as important to success as the configuration itself.</w:t>
      </w:r>
    </w:p>
    <w:p>
      <w:pPr>
        <w:pStyle w:val="ListParagraph"/>
        <w:numPr>
          <w:ilvl w:val="0"/>
          <w:numId w:val="2"/>
        </w:numPr>
        <w:spacing w:after="90" w:line="276"/>
      </w:pPr>
      <w:r>
        <w:rPr>
          <w:color w:val="262626"/>
          <w:sz w:val="22"/>
          <w:szCs w:val="22"/>
        </w:rPr>
        <w:t xml:space="preserve">Secure sustained executive sponsorship: A multi-year program needs visible, senior ownership to stay funded and prioritized against competing IT initiatives.</w:t>
      </w:r>
    </w:p>
    <w:p>
      <w:pPr>
        <w:pStyle w:val="ListParagraph"/>
        <w:numPr>
          <w:ilvl w:val="0"/>
          <w:numId w:val="2"/>
        </w:numPr>
        <w:spacing w:after="90" w:line="276"/>
      </w:pPr>
      <w:r>
        <w:rPr>
          <w:color w:val="262626"/>
          <w:sz w:val="22"/>
          <w:szCs w:val="22"/>
        </w:rPr>
        <w:t xml:space="preserve">Plan for hypercare: Dedicated post-go-live support in each wave prevented early issues from eroding user confidence in the new system.</w:t>
      </w:r>
    </w:p>
    <w:p>
      <w:pPr>
        <w:pStyle w:val="ListParagraph"/>
        <w:numPr>
          <w:ilvl w:val="0"/>
          <w:numId w:val="2"/>
        </w:numPr>
        <w:spacing w:after="90" w:line="276"/>
      </w:pPr>
      <w:r>
        <w:rPr>
          <w:color w:val="262626"/>
          <w:sz w:val="22"/>
          <w:szCs w:val="22"/>
        </w:rPr>
        <w:t xml:space="preserve">Let the financial core enable broader transformation: A stable, well-integrated FICO foundation made it easier to layer on later capabilities such as trade promotion management and advanced analytics.</w:t>
      </w:r>
    </w:p>
    <w:p>
      <w:pPr>
        <w:pStyle w:val="Heading1"/>
        <w:pBdr>
          <w:bottom w:val="single" w:color="B8860B" w:sz="8" w:space="4"/>
        </w:pBdr>
        <w:spacing w:after="160" w:before="360"/>
      </w:pPr>
      <w:r>
        <w:rPr>
          <w:b/>
          <w:bCs/>
          <w:color w:val="1F3864"/>
          <w:sz w:val="28"/>
          <w:szCs w:val="28"/>
        </w:rPr>
        <w:t xml:space="preserve">10. Conclusion</w:t>
      </w:r>
    </w:p>
    <w:p>
      <w:pPr>
        <w:spacing w:after="160" w:line="288"/>
        <w:jc w:val="both"/>
      </w:pPr>
      <w:r>
        <w:rPr>
          <w:color w:val="262626"/>
          <w:sz w:val="22"/>
          <w:szCs w:val="22"/>
        </w:rPr>
        <w:t xml:space="preserve">Colgate-Palmolive's SAP FICO journey demonstrates that even a very large, geographically complex organization can successfully move from fragmented, legacy finance systems to one standardized, global financial backbone. By combining a disciplined global-template approach with phased regional rollouts, strong governance, and sustained executive commitment, the company transformed Financial Accounting and Controlling from a source of operational friction into a strategic asset — one that improved consolidation speed, strengthened reporting consistency, lowered IT costs, and created a scalable foundation for future growth and further SAP-enabled innovation. For any organization evaluating an SAP FICO implementation, this case underscores that success depends less on the software alone and more on template design discipline, data governance, change management, and patient, phased execution.</w:t>
      </w:r>
    </w:p>
    <w:p>
      <w:pPr>
        <w:pStyle w:val="Heading1"/>
        <w:pBdr>
          <w:bottom w:val="single" w:color="B8860B" w:sz="8" w:space="4"/>
        </w:pBdr>
        <w:spacing w:after="160" w:before="360"/>
      </w:pPr>
      <w:r>
        <w:rPr>
          <w:b/>
          <w:bCs/>
          <w:color w:val="1F3864"/>
          <w:sz w:val="28"/>
          <w:szCs w:val="28"/>
        </w:rPr>
        <w:t xml:space="preserve">11. References</w:t>
      </w:r>
    </w:p>
    <w:p>
      <w:pPr>
        <w:spacing w:after="160" w:line="288"/>
        <w:jc w:val="both"/>
      </w:pPr>
      <w:r>
        <w:rPr>
          <w:i/>
          <w:iCs/>
          <w:color w:val="262626"/>
          <w:sz w:val="22"/>
          <w:szCs w:val="22"/>
        </w:rPr>
        <w:t xml:space="preserve">The following publicly available sources informed this case study:</w:t>
      </w:r>
    </w:p>
    <w:p>
      <w:pPr>
        <w:pStyle w:val="ListParagraph"/>
        <w:numPr>
          <w:ilvl w:val="0"/>
          <w:numId w:val="2"/>
        </w:numPr>
        <w:spacing w:after="90" w:line="276"/>
      </w:pPr>
      <w:r>
        <w:rPr>
          <w:color w:val="262626"/>
          <w:sz w:val="22"/>
          <w:szCs w:val="22"/>
        </w:rPr>
        <w:t xml:space="preserve">Consumer Goods Technology (CGT) — "Continuous Improvement" case study on Colgate-Palmolive's SAP partnership. consumergoods.com</w:t>
      </w:r>
    </w:p>
    <w:p>
      <w:pPr>
        <w:pStyle w:val="ListParagraph"/>
        <w:numPr>
          <w:ilvl w:val="0"/>
          <w:numId w:val="2"/>
        </w:numPr>
        <w:spacing w:after="90" w:line="276"/>
      </w:pPr>
      <w:r>
        <w:rPr>
          <w:color w:val="262626"/>
          <w:sz w:val="22"/>
          <w:szCs w:val="22"/>
        </w:rPr>
        <w:t xml:space="preserve">SAPinsider — "Colgate-Palmolive Empowers End Users with Advanced Reporting." sapinsider.org</w:t>
      </w:r>
    </w:p>
    <w:p>
      <w:pPr>
        <w:pStyle w:val="ListParagraph"/>
        <w:numPr>
          <w:ilvl w:val="0"/>
          <w:numId w:val="2"/>
        </w:numPr>
        <w:spacing w:after="90" w:line="276"/>
      </w:pPr>
      <w:r>
        <w:rPr>
          <w:color w:val="262626"/>
          <w:sz w:val="22"/>
          <w:szCs w:val="22"/>
        </w:rPr>
        <w:t xml:space="preserve">IBM — Colgate-Palmolive customer case study on SAP landscape infrastructure. public.dhe.ibm.com</w:t>
      </w:r>
    </w:p>
    <w:p>
      <w:pPr>
        <w:pStyle w:val="ListParagraph"/>
        <w:numPr>
          <w:ilvl w:val="0"/>
          <w:numId w:val="2"/>
        </w:numPr>
        <w:spacing w:after="90" w:line="276"/>
      </w:pPr>
      <w:r>
        <w:rPr>
          <w:color w:val="262626"/>
          <w:sz w:val="22"/>
          <w:szCs w:val="22"/>
        </w:rPr>
        <w:t xml:space="preserve">UKEssays.com — "Discussing the Implementation of ERP" (Colgate-Palmolive SAP consolidation discussion).</w:t>
      </w:r>
    </w:p>
    <w:p>
      <w:pPr>
        <w:pStyle w:val="ListParagraph"/>
        <w:numPr>
          <w:ilvl w:val="0"/>
          <w:numId w:val="2"/>
        </w:numPr>
        <w:spacing w:after="90" w:line="276"/>
      </w:pPr>
      <w:r>
        <w:rPr>
          <w:color w:val="262626"/>
          <w:sz w:val="22"/>
          <w:szCs w:val="22"/>
        </w:rPr>
        <w:t xml:space="preserve">General company background: Colgate-Palmolive Company public corporate information.</w:t>
      </w:r>
    </w:p>
    <w:p>
      <w:pPr>
        <w:spacing w:after="240" w:before="60"/>
      </w:pPr>
      <w:r>
        <w:rPr>
          <w:i/>
          <w:iCs/>
          <w:color w:val="595959"/>
          <w:sz w:val="18"/>
          <w:szCs w:val="18"/>
        </w:rPr>
        <w:t xml:space="preserve">Note: This case study synthesizes publicly reported information for educational purposes as part of an SAP FICO internship training exercise. Figures described as approximate should be verified against current company disclosures before use in any formal business document.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SAP FICO Case Study</w:t>
    </w:r>
    <w:r>
      <w:rPr>
        <w:color w:val="595959"/>
        <w:sz w:val="16"/>
        <w:szCs w:val="16"/>
      </w:rPr>
      <w:t xml:space="preserve">	Week 3 Internship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2026-09-10T10:24:56.029Z</dcterms:created>
  <dcterms:modified xsi:type="dcterms:W3CDTF">2026-09-10T10:24:56.040Z</dcterms:modified>
</cp:coreProperties>
</file>

<file path=docProps/custom.xml><?xml version="1.0" encoding="utf-8"?>
<Properties xmlns="http://schemas.openxmlformats.org/officeDocument/2006/custom-properties" xmlns:vt="http://schemas.openxmlformats.org/officeDocument/2006/docPropsVTypes"/>
</file>