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b/>
          <w:bCs/>
          <w:caps/>
          <w:color w:val="B8860B"/>
          <w:sz w:val="22"/>
          <w:szCs w:val="22"/>
        </w:rPr>
        <w:t xml:space="preserve">SAP FICO INTERNSHIP PROGRAM</w:t>
      </w:r>
    </w:p>
    <w:p>
      <w:pPr>
        <w:spacing w:after="300"/>
        <w:jc w:val="center"/>
      </w:pPr>
      <w:r>
        <w:rPr>
          <w:color w:val="595959"/>
          <w:sz w:val="22"/>
          <w:szCs w:val="22"/>
        </w:rPr>
        <w:t xml:space="preserve">Week 5 Task</w:t>
      </w:r>
    </w:p>
    <w:p>
      <w:pPr>
        <w:spacing w:after="200" w:before="200"/>
        <w:jc w:val="center"/>
      </w:pPr>
      <w:r>
        <w:rPr>
          <w:b/>
          <w:bCs/>
          <w:color w:val="1F3864"/>
          <w:sz w:val="50"/>
          <w:szCs w:val="50"/>
        </w:rPr>
        <w:t xml:space="preserve">SAP FICO Troubleshooting</w:t>
      </w:r>
    </w:p>
    <w:p>
      <w:pPr>
        <w:spacing w:after="700"/>
        <w:jc w:val="center"/>
      </w:pPr>
      <w:r>
        <w:rPr>
          <w:i/>
          <w:iCs/>
          <w:color w:val="595959"/>
          <w:sz w:val="28"/>
          <w:szCs w:val="28"/>
        </w:rPr>
        <w:t xml:space="preserve">Common Issues, Root Causes, and Practical Solutions</w:t>
      </w:r>
    </w:p>
    <w:p>
      <w:pPr>
        <w:pBdr>
          <w:top w:val="single" w:color="B8860B" w:sz="6" w:space="12"/>
          <w:bottom w:val="single" w:color="B8860B" w:sz="6" w:space="12"/>
        </w:pBdr>
        <w:spacing w:after="3200"/>
        <w:jc w:val="center"/>
      </w:pPr>
      <w:r>
        <w:rPr>
          <w:i/>
          <w:iCs/>
          <w:color w:val="262626"/>
          <w:sz w:val="20"/>
          <w:szCs w:val="20"/>
        </w:rPr>
        <w:t xml:space="preserve">A field reference to the errors and process breakdowns SAP FICO consultants encounter most often in Financial Accounting, Controlling, and their integration points — with the fastest reliable path to resolution for each</w:t>
      </w:r>
    </w:p>
    <w:p>
      <w:pPr>
        <w:spacing w:after="60"/>
        <w:jc w:val="center"/>
      </w:pPr>
      <w:r>
        <w:rPr>
          <w:color w:val="262626"/>
          <w:sz w:val="22"/>
          <w:szCs w:val="22"/>
        </w:rPr>
        <w:t xml:space="preserve">Prepared by:  [Your Name]</w:t>
      </w:r>
    </w:p>
    <w:p>
      <w:pPr>
        <w:spacing w:after="60"/>
        <w:jc w:val="center"/>
      </w:pPr>
      <w:r>
        <w:rPr>
          <w:color w:val="262626"/>
          <w:sz w:val="22"/>
          <w:szCs w:val="22"/>
        </w:rPr>
        <w:t xml:space="preserve">Reviewed under the guidance of: SAP FICO Domain Expert (20+ years' experience)</w:t>
      </w:r>
    </w:p>
    <w:p>
      <w:pPr>
        <w:spacing w:after="60"/>
        <w:jc w:val="center"/>
      </w:pPr>
      <w:r>
        <w:rPr>
          <w:color w:val="262626"/>
          <w:sz w:val="22"/>
          <w:szCs w:val="22"/>
        </w:rPr>
        <w:t xml:space="preserve">Date: September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B8860B" w:sz="8" w:space="4"/>
        </w:pBdr>
        <w:spacing w:after="160" w:before="360"/>
      </w:pPr>
      <w:r>
        <w:rPr>
          <w:b/>
          <w:bCs/>
          <w:color w:val="1F3864"/>
          <w:sz w:val="28"/>
          <w:szCs w:val="28"/>
        </w:rPr>
        <w:t xml:space="preserve">Table of Contents</w:t>
      </w:r>
    </w:p>
    <w:p>
      <w:pPr>
        <w:spacing w:after="100"/>
      </w:pPr>
      <w:r>
        <w:rPr>
          <w:color w:val="262626"/>
          <w:sz w:val="22"/>
          <w:szCs w:val="22"/>
        </w:rPr>
        <w:t xml:space="preserve">1. Executive Summary</w:t>
      </w:r>
    </w:p>
    <w:p>
      <w:pPr>
        <w:spacing w:after="100"/>
      </w:pPr>
      <w:r>
        <w:rPr>
          <w:color w:val="262626"/>
          <w:sz w:val="22"/>
          <w:szCs w:val="22"/>
        </w:rPr>
        <w:t xml:space="preserve">2. A Systematic Approach to SAP FICO Troubleshooting</w:t>
      </w:r>
    </w:p>
    <w:p>
      <w:pPr>
        <w:spacing w:after="100"/>
      </w:pPr>
      <w:r>
        <w:rPr>
          <w:color w:val="262626"/>
          <w:sz w:val="22"/>
          <w:szCs w:val="22"/>
        </w:rPr>
        <w:t xml:space="preserve">3. Common Issues: General Ledger (FI-GL)</w:t>
      </w:r>
    </w:p>
    <w:p>
      <w:pPr>
        <w:spacing w:after="100"/>
      </w:pPr>
      <w:r>
        <w:rPr>
          <w:color w:val="262626"/>
          <w:sz w:val="22"/>
          <w:szCs w:val="22"/>
        </w:rPr>
        <w:t xml:space="preserve">4. Common Issues: Accounts Payable (FI-AP)</w:t>
      </w:r>
    </w:p>
    <w:p>
      <w:pPr>
        <w:spacing w:after="100"/>
      </w:pPr>
      <w:r>
        <w:rPr>
          <w:color w:val="262626"/>
          <w:sz w:val="22"/>
          <w:szCs w:val="22"/>
        </w:rPr>
        <w:t xml:space="preserve">5. Common Issues: Accounts Receivable (FI-AR)</w:t>
      </w:r>
    </w:p>
    <w:p>
      <w:pPr>
        <w:spacing w:after="100"/>
      </w:pPr>
      <w:r>
        <w:rPr>
          <w:color w:val="262626"/>
          <w:sz w:val="22"/>
          <w:szCs w:val="22"/>
        </w:rPr>
        <w:t xml:space="preserve">6. Common Issues: Asset Accounting (FI-AA)</w:t>
      </w:r>
    </w:p>
    <w:p>
      <w:pPr>
        <w:spacing w:after="100"/>
      </w:pPr>
      <w:r>
        <w:rPr>
          <w:color w:val="262626"/>
          <w:sz w:val="22"/>
          <w:szCs w:val="22"/>
        </w:rPr>
        <w:t xml:space="preserve">7. Common Issues: Controlling (CO)</w:t>
      </w:r>
    </w:p>
    <w:p>
      <w:pPr>
        <w:spacing w:after="100"/>
      </w:pPr>
      <w:r>
        <w:rPr>
          <w:color w:val="262626"/>
          <w:sz w:val="22"/>
          <w:szCs w:val="22"/>
        </w:rPr>
        <w:t xml:space="preserve">8. Common Integration Issues (FI–MM–SD)</w:t>
      </w:r>
    </w:p>
    <w:p>
      <w:pPr>
        <w:spacing w:after="100"/>
      </w:pPr>
      <w:r>
        <w:rPr>
          <w:color w:val="262626"/>
          <w:sz w:val="22"/>
          <w:szCs w:val="22"/>
        </w:rPr>
        <w:t xml:space="preserve">9. Diagnostic Tools and Transaction Codes</w:t>
      </w:r>
    </w:p>
    <w:p>
      <w:pPr>
        <w:spacing w:after="100"/>
      </w:pPr>
      <w:r>
        <w:rPr>
          <w:color w:val="262626"/>
          <w:sz w:val="22"/>
          <w:szCs w:val="22"/>
        </w:rPr>
        <w:t xml:space="preserve">10. Summary Table: Issues at a Glance</w:t>
      </w:r>
    </w:p>
    <w:p>
      <w:pPr>
        <w:spacing w:after="100"/>
      </w:pPr>
      <w:r>
        <w:rPr>
          <w:color w:val="262626"/>
          <w:sz w:val="22"/>
          <w:szCs w:val="22"/>
        </w:rPr>
        <w:t xml:space="preserve">11. Best Practices to Prevent Recurring Issues</w:t>
      </w:r>
    </w:p>
    <w:p>
      <w:pPr>
        <w:spacing w:after="100"/>
      </w:pPr>
      <w:r>
        <w:rPr>
          <w:color w:val="262626"/>
          <w:sz w:val="22"/>
          <w:szCs w:val="22"/>
        </w:rPr>
        <w:t xml:space="preserve">12. Conclusion</w:t>
      </w:r>
    </w:p>
    <w:p>
      <w:r>
        <w:br w:type="page"/>
      </w:r>
    </w:p>
    <w:p>
      <w:pPr>
        <w:pStyle w:val="Heading1"/>
        <w:pBdr>
          <w:bottom w:val="single" w:color="B8860B" w:sz="8" w:space="4"/>
        </w:pBdr>
        <w:spacing w:after="160" w:before="360"/>
      </w:pPr>
      <w:r>
        <w:rPr>
          <w:b/>
          <w:bCs/>
          <w:color w:val="1F3864"/>
          <w:sz w:val="28"/>
          <w:szCs w:val="28"/>
        </w:rPr>
        <w:t xml:space="preserve">1. Executive Summary</w:t>
      </w:r>
    </w:p>
    <w:p>
      <w:pPr>
        <w:spacing w:after="160" w:line="288"/>
        <w:jc w:val="both"/>
      </w:pPr>
      <w:r>
        <w:rPr>
          <w:color w:val="262626"/>
          <w:sz w:val="22"/>
          <w:szCs w:val="22"/>
        </w:rPr>
        <w:t xml:space="preserve">Even a well-configured SAP FICO system runs into day-to-day issues — a posting that will not save, a payment run that skips a vendor, depreciation that will not post, or a Controlling document that never gets created. Most of these issues are not defects in SAP; they are configuration gaps, master data problems, or process/authorization issues that follow a small number of recurring patterns. This document catalogs the most common SAP FICO issues a consultant or support analyst will meet in Financial Accounting (FI) and Controlling (CO), explains the typical root cause behind each, and gives a practical, step-by-step resolution path. It closes with a quick-reference summary table, a list of diagnostic transaction codes, and a set of preventive best practices.</w:t>
      </w:r>
    </w:p>
    <w:p>
      <w:pPr>
        <w:pStyle w:val="Heading1"/>
        <w:pBdr>
          <w:bottom w:val="single" w:color="B8860B" w:sz="8" w:space="4"/>
        </w:pBdr>
        <w:spacing w:after="160" w:before="360"/>
      </w:pPr>
      <w:r>
        <w:rPr>
          <w:b/>
          <w:bCs/>
          <w:color w:val="1F3864"/>
          <w:sz w:val="28"/>
          <w:szCs w:val="28"/>
        </w:rPr>
        <w:t xml:space="preserve">2. A Systematic Approach to SAP FICO Troubleshooting</w:t>
      </w:r>
    </w:p>
    <w:p>
      <w:pPr>
        <w:spacing w:after="160" w:line="288"/>
        <w:jc w:val="both"/>
      </w:pPr>
      <w:r>
        <w:rPr>
          <w:color w:val="262626"/>
          <w:sz w:val="22"/>
          <w:szCs w:val="22"/>
        </w:rPr>
        <w:t xml:space="preserve">Before jumping to a fix, experienced consultants follow a consistent diagnostic sequence. This discipline turns troubleshooting from guesswork into a repeatable process:</w:t>
      </w:r>
    </w:p>
    <w:p>
      <w:pPr>
        <w:pStyle w:val="ListParagraph"/>
        <w:numPr>
          <w:ilvl w:val="0"/>
          <w:numId w:val="2"/>
        </w:numPr>
        <w:spacing w:after="90" w:line="276"/>
      </w:pPr>
      <w:r>
        <w:rPr>
          <w:color w:val="262626"/>
          <w:sz w:val="22"/>
          <w:szCs w:val="22"/>
        </w:rPr>
        <w:t xml:space="preserve">Capture the exact error: Note the full message text and message number (for example, F5 auth errors or FI message classes shown in the status bar) — SAP's error messages are specific and are the fastest clue to the cause.</w:t>
      </w:r>
    </w:p>
    <w:p>
      <w:pPr>
        <w:pStyle w:val="ListParagraph"/>
        <w:numPr>
          <w:ilvl w:val="0"/>
          <w:numId w:val="2"/>
        </w:numPr>
        <w:spacing w:after="90" w:line="276"/>
      </w:pPr>
      <w:r>
        <w:rPr>
          <w:color w:val="262626"/>
          <w:sz w:val="22"/>
          <w:szCs w:val="22"/>
        </w:rPr>
        <w:t xml:space="preserve">Reproduce the issue: Confirm the steps that trigger it, and check whether it happens for one user/document or for everyone — this immediately separates a data/authorization issue from a configuration issue.</w:t>
      </w:r>
    </w:p>
    <w:p>
      <w:pPr>
        <w:pStyle w:val="ListParagraph"/>
        <w:numPr>
          <w:ilvl w:val="0"/>
          <w:numId w:val="2"/>
        </w:numPr>
        <w:spacing w:after="90" w:line="276"/>
      </w:pPr>
      <w:r>
        <w:rPr>
          <w:color w:val="262626"/>
          <w:sz w:val="22"/>
          <w:szCs w:val="22"/>
        </w:rPr>
        <w:t xml:space="preserve">Check master data first: A large share of FI/CO issues trace back to incomplete or inconsistent master data (GL account, vendor, customer, asset, or cost center master records).</w:t>
      </w:r>
    </w:p>
    <w:p>
      <w:pPr>
        <w:pStyle w:val="ListParagraph"/>
        <w:numPr>
          <w:ilvl w:val="0"/>
          <w:numId w:val="2"/>
        </w:numPr>
        <w:spacing w:after="90" w:line="276"/>
      </w:pPr>
      <w:r>
        <w:rPr>
          <w:color w:val="262626"/>
          <w:sz w:val="22"/>
          <w:szCs w:val="22"/>
        </w:rPr>
        <w:t xml:space="preserve">Check configuration next: If the issue is systemic (affects all users/documents of a type), review the relevant customizing (SPRO) node for that process.</w:t>
      </w:r>
    </w:p>
    <w:p>
      <w:pPr>
        <w:pStyle w:val="ListParagraph"/>
        <w:numPr>
          <w:ilvl w:val="0"/>
          <w:numId w:val="2"/>
        </w:numPr>
        <w:spacing w:after="90" w:line="276"/>
      </w:pPr>
      <w:r>
        <w:rPr>
          <w:color w:val="262626"/>
          <w:sz w:val="22"/>
          <w:szCs w:val="22"/>
        </w:rPr>
        <w:t xml:space="preserve">Check the integration points: FI/CO postings are frequently triggered by MM or SD transactions; confirm whether the root document originated outside FI before assuming the FI configuration is at fault.</w:t>
      </w:r>
    </w:p>
    <w:p>
      <w:pPr>
        <w:pStyle w:val="ListParagraph"/>
        <w:numPr>
          <w:ilvl w:val="0"/>
          <w:numId w:val="2"/>
        </w:numPr>
        <w:spacing w:after="90" w:line="276"/>
      </w:pPr>
      <w:r>
        <w:rPr>
          <w:color w:val="262626"/>
          <w:sz w:val="22"/>
          <w:szCs w:val="22"/>
        </w:rPr>
        <w:t xml:space="preserve">Search SAP Notes / the SAP Support Portal: Many recurring errors are already documented by SAP with a known correction or patch.</w:t>
      </w:r>
    </w:p>
    <w:p>
      <w:pPr>
        <w:pStyle w:val="ListParagraph"/>
        <w:numPr>
          <w:ilvl w:val="0"/>
          <w:numId w:val="2"/>
        </w:numPr>
        <w:spacing w:after="90" w:line="276"/>
      </w:pPr>
      <w:r>
        <w:rPr>
          <w:color w:val="262626"/>
          <w:sz w:val="22"/>
          <w:szCs w:val="22"/>
        </w:rPr>
        <w:t xml:space="preserve">Test the fix in a non-production client first: Configuration or master data corrections should be validated in a sandbox/quality system before being applied in production.</w:t>
      </w:r>
    </w:p>
    <w:p>
      <w:pPr>
        <w:pStyle w:val="Heading1"/>
        <w:pBdr>
          <w:bottom w:val="single" w:color="B8860B" w:sz="8" w:space="4"/>
        </w:pBdr>
        <w:spacing w:after="160" w:before="360"/>
      </w:pPr>
      <w:r>
        <w:rPr>
          <w:b/>
          <w:bCs/>
          <w:color w:val="1F3864"/>
          <w:sz w:val="28"/>
          <w:szCs w:val="28"/>
        </w:rPr>
        <w:t xml:space="preserve">3. Common Issues: General Ledger (FI-GL)</w:t>
      </w:r>
    </w:p>
    <w:p>
      <w:pPr>
        <w:shd w:fill="F2F2F2" w:color="auto" w:val="clear"/>
        <w:spacing w:after="60" w:before="200"/>
      </w:pPr>
      <w:r>
        <w:rPr>
          <w:b/>
          <w:bCs/>
          <w:color w:val="1F3864"/>
          <w:sz w:val="22"/>
          <w:szCs w:val="22"/>
        </w:rPr>
        <w:t xml:space="preserve">3.1 Posting Period Not Open</w:t>
      </w:r>
    </w:p>
    <w:p>
      <w:pPr>
        <w:spacing w:after="40"/>
        <w:ind w:left="120"/>
      </w:pPr>
      <w:r>
        <w:rPr>
          <w:b/>
          <w:bCs/>
          <w:color w:val="9C2B2B"/>
          <w:sz w:val="20"/>
          <w:szCs w:val="20"/>
        </w:rPr>
        <w:t xml:space="preserve">Symptom: </w:t>
      </w:r>
      <w:r>
        <w:rPr>
          <w:color w:val="262626"/>
          <w:sz w:val="20"/>
          <w:szCs w:val="20"/>
        </w:rPr>
        <w:t xml:space="preserve">User receives an error stating that the posting period is closed when trying to park or post a document.</w:t>
      </w:r>
    </w:p>
    <w:p>
      <w:pPr>
        <w:spacing w:after="40"/>
        <w:ind w:left="120"/>
      </w:pPr>
      <w:r>
        <w:rPr>
          <w:b/>
          <w:bCs/>
          <w:color w:val="595959"/>
          <w:sz w:val="20"/>
          <w:szCs w:val="20"/>
        </w:rPr>
        <w:t xml:space="preserve">Likely Cause: </w:t>
      </w:r>
      <w:r>
        <w:rPr>
          <w:color w:val="262626"/>
          <w:sz w:val="20"/>
          <w:szCs w:val="20"/>
        </w:rPr>
        <w:t xml:space="preserve">The posting period variant assigned to the company code has not been opened for the fiscal period/year in question, or the document date falls outside the currently open periods.</w:t>
      </w:r>
    </w:p>
    <w:p>
      <w:pPr>
        <w:spacing w:after="40"/>
        <w:ind w:left="120"/>
      </w:pPr>
      <w:r>
        <w:rPr>
          <w:b/>
          <w:bCs/>
          <w:color w:val="1F6631"/>
          <w:sz w:val="20"/>
          <w:szCs w:val="20"/>
        </w:rPr>
        <w:t xml:space="preserve">Resolution: </w:t>
      </w:r>
      <w:r>
        <w:rPr>
          <w:color w:val="262626"/>
          <w:sz w:val="20"/>
          <w:szCs w:val="20"/>
        </w:rPr>
        <w:t xml:space="preserve">Open the relevant posting period (normal and/or special period) for the appropriate account type in period-control configuration. Confirm with the finance controller which periods should legitimately be open before changing this, since period locking is usually intentional at month/year-end.</w:t>
      </w:r>
    </w:p>
    <w:p>
      <w:pPr>
        <w:spacing w:after="180"/>
        <w:ind w:left="120"/>
      </w:pPr>
      <w:r>
        <w:rPr>
          <w:b/>
          <w:bCs/>
          <w:i/>
          <w:iCs/>
          <w:color w:val="595959"/>
          <w:sz w:val="18"/>
          <w:szCs w:val="18"/>
        </w:rPr>
        <w:t xml:space="preserve">Relevant T-code(s): </w:t>
      </w:r>
      <w:r>
        <w:rPr>
          <w:i/>
          <w:iCs/>
          <w:color w:val="595959"/>
          <w:sz w:val="18"/>
          <w:szCs w:val="18"/>
        </w:rPr>
        <w:t xml:space="preserve">OB52</w:t>
      </w:r>
    </w:p>
    <w:p>
      <w:pPr>
        <w:shd w:fill="F2F2F2" w:color="auto" w:val="clear"/>
        <w:spacing w:after="60" w:before="200"/>
      </w:pPr>
      <w:r>
        <w:rPr>
          <w:b/>
          <w:bCs/>
          <w:color w:val="1F3864"/>
          <w:sz w:val="22"/>
          <w:szCs w:val="22"/>
        </w:rPr>
        <w:t xml:space="preserve">3.2 Document Not Balanced (Debits ≠ Credits)</w:t>
      </w:r>
    </w:p>
    <w:p>
      <w:pPr>
        <w:spacing w:after="40"/>
        <w:ind w:left="120"/>
      </w:pPr>
      <w:r>
        <w:rPr>
          <w:b/>
          <w:bCs/>
          <w:color w:val="9C2B2B"/>
          <w:sz w:val="20"/>
          <w:szCs w:val="20"/>
        </w:rPr>
        <w:t xml:space="preserve">Symptom: </w:t>
      </w:r>
      <w:r>
        <w:rPr>
          <w:color w:val="262626"/>
          <w:sz w:val="20"/>
          <w:szCs w:val="20"/>
        </w:rPr>
        <w:t xml:space="preserve">System refuses to post a document, citing that debit and credit amounts do not balance, even though the entries look correct to the user.</w:t>
      </w:r>
    </w:p>
    <w:p>
      <w:pPr>
        <w:spacing w:after="40"/>
        <w:ind w:left="120"/>
      </w:pPr>
      <w:r>
        <w:rPr>
          <w:b/>
          <w:bCs/>
          <w:color w:val="595959"/>
          <w:sz w:val="20"/>
          <w:szCs w:val="20"/>
        </w:rPr>
        <w:t xml:space="preserve">Likely Cause: </w:t>
      </w:r>
      <w:r>
        <w:rPr>
          <w:color w:val="262626"/>
          <w:sz w:val="20"/>
          <w:szCs w:val="20"/>
        </w:rPr>
        <w:t xml:space="preserve">Usually caused by a missing tax line, an incorrect exchange rate on a foreign currency line, or a rounding difference not covered by a rounding/clearing account in configuration.</w:t>
      </w:r>
    </w:p>
    <w:p>
      <w:pPr>
        <w:spacing w:after="40"/>
        <w:ind w:left="120"/>
      </w:pPr>
      <w:r>
        <w:rPr>
          <w:b/>
          <w:bCs/>
          <w:color w:val="1F6631"/>
          <w:sz w:val="20"/>
          <w:szCs w:val="20"/>
        </w:rPr>
        <w:t xml:space="preserve">Resolution: </w:t>
      </w:r>
      <w:r>
        <w:rPr>
          <w:color w:val="262626"/>
          <w:sz w:val="20"/>
          <w:szCs w:val="20"/>
        </w:rPr>
        <w:t xml:space="preserve">Review each line item's local currency amount (not just the document currency amount), verify the exchange rate used, and confirm a rounding difference account is configured for the company code if small rounding gaps are expected.</w:t>
      </w:r>
    </w:p>
    <w:p>
      <w:pPr>
        <w:spacing w:after="180"/>
        <w:ind w:left="120"/>
      </w:pPr>
      <w:r>
        <w:rPr>
          <w:b/>
          <w:bCs/>
          <w:i/>
          <w:iCs/>
          <w:color w:val="595959"/>
          <w:sz w:val="18"/>
          <w:szCs w:val="18"/>
        </w:rPr>
        <w:t xml:space="preserve">Relevant T-code(s): </w:t>
      </w:r>
      <w:r>
        <w:rPr>
          <w:i/>
          <w:iCs/>
          <w:color w:val="595959"/>
          <w:sz w:val="18"/>
          <w:szCs w:val="18"/>
        </w:rPr>
        <w:t xml:space="preserve">FB03, OB08, OBA0</w:t>
      </w:r>
    </w:p>
    <w:p>
      <w:pPr>
        <w:shd w:fill="F2F2F2" w:color="auto" w:val="clear"/>
        <w:spacing w:after="60" w:before="200"/>
      </w:pPr>
      <w:r>
        <w:rPr>
          <w:b/>
          <w:bCs/>
          <w:color w:val="1F3864"/>
          <w:sz w:val="22"/>
          <w:szCs w:val="22"/>
        </w:rPr>
        <w:t xml:space="preserve">3.3 Direct Posting to a Reconciliation Account Blocked</w:t>
      </w:r>
    </w:p>
    <w:p>
      <w:pPr>
        <w:spacing w:after="40"/>
        <w:ind w:left="120"/>
      </w:pPr>
      <w:r>
        <w:rPr>
          <w:b/>
          <w:bCs/>
          <w:color w:val="9C2B2B"/>
          <w:sz w:val="20"/>
          <w:szCs w:val="20"/>
        </w:rPr>
        <w:t xml:space="preserve">Symptom: </w:t>
      </w:r>
      <w:r>
        <w:rPr>
          <w:color w:val="262626"/>
          <w:sz w:val="20"/>
          <w:szCs w:val="20"/>
        </w:rPr>
        <w:t xml:space="preserve">System error prevents a user from posting directly to a G/L account, stating it is a reconciliation account for another ledger.</w:t>
      </w:r>
    </w:p>
    <w:p>
      <w:pPr>
        <w:spacing w:after="40"/>
        <w:ind w:left="120"/>
      </w:pPr>
      <w:r>
        <w:rPr>
          <w:b/>
          <w:bCs/>
          <w:color w:val="595959"/>
          <w:sz w:val="20"/>
          <w:szCs w:val="20"/>
        </w:rPr>
        <w:t xml:space="preserve">Likely Cause: </w:t>
      </w:r>
      <w:r>
        <w:rPr>
          <w:color w:val="262626"/>
          <w:sz w:val="20"/>
          <w:szCs w:val="20"/>
        </w:rPr>
        <w:t xml:space="preserve">Reconciliation accounts (linked to vendor, customer, or asset sub-ledgers) are intentionally locked for direct GL posting to preserve sub-ledger integrity.</w:t>
      </w:r>
    </w:p>
    <w:p>
      <w:pPr>
        <w:spacing w:after="40"/>
        <w:ind w:left="120"/>
      </w:pPr>
      <w:r>
        <w:rPr>
          <w:b/>
          <w:bCs/>
          <w:color w:val="1F6631"/>
          <w:sz w:val="20"/>
          <w:szCs w:val="20"/>
        </w:rPr>
        <w:t xml:space="preserve">Resolution: </w:t>
      </w:r>
      <w:r>
        <w:rPr>
          <w:color w:val="262626"/>
          <w:sz w:val="20"/>
          <w:szCs w:val="20"/>
        </w:rPr>
        <w:t xml:space="preserve">Post through the correct sub-ledger transaction (vendor, customer, or asset posting) instead of FB50/F-02. If a correction is truly needed, use the appropriate adjustment process rather than a direct GL posting.</w:t>
      </w:r>
    </w:p>
    <w:p>
      <w:pPr>
        <w:spacing w:after="180"/>
        <w:ind w:left="120"/>
      </w:pPr>
      <w:r>
        <w:rPr>
          <w:b/>
          <w:bCs/>
          <w:i/>
          <w:iCs/>
          <w:color w:val="595959"/>
          <w:sz w:val="18"/>
          <w:szCs w:val="18"/>
        </w:rPr>
        <w:t xml:space="preserve">Relevant T-code(s): </w:t>
      </w:r>
      <w:r>
        <w:rPr>
          <w:i/>
          <w:iCs/>
          <w:color w:val="595959"/>
          <w:sz w:val="18"/>
          <w:szCs w:val="18"/>
        </w:rPr>
        <w:t xml:space="preserve">FS00, FB50, FB60/FB70</w:t>
      </w:r>
    </w:p>
    <w:p>
      <w:pPr>
        <w:shd w:fill="F2F2F2" w:color="auto" w:val="clear"/>
        <w:spacing w:after="60" w:before="200"/>
      </w:pPr>
      <w:r>
        <w:rPr>
          <w:b/>
          <w:bCs/>
          <w:color w:val="1F3864"/>
          <w:sz w:val="22"/>
          <w:szCs w:val="22"/>
        </w:rPr>
        <w:t xml:space="preserve">3.4 No Exchange Rate Found for Currency Pair</w:t>
      </w:r>
    </w:p>
    <w:p>
      <w:pPr>
        <w:spacing w:after="40"/>
        <w:ind w:left="120"/>
      </w:pPr>
      <w:r>
        <w:rPr>
          <w:b/>
          <w:bCs/>
          <w:color w:val="9C2B2B"/>
          <w:sz w:val="20"/>
          <w:szCs w:val="20"/>
        </w:rPr>
        <w:t xml:space="preserve">Symptom: </w:t>
      </w:r>
      <w:r>
        <w:rPr>
          <w:color w:val="262626"/>
          <w:sz w:val="20"/>
          <w:szCs w:val="20"/>
        </w:rPr>
        <w:t xml:space="preserve">Posting fails with an error that no rate type/exchange rate could be determined for a given currency pair and date.</w:t>
      </w:r>
    </w:p>
    <w:p>
      <w:pPr>
        <w:spacing w:after="40"/>
        <w:ind w:left="120"/>
      </w:pPr>
      <w:r>
        <w:rPr>
          <w:b/>
          <w:bCs/>
          <w:color w:val="595959"/>
          <w:sz w:val="20"/>
          <w:szCs w:val="20"/>
        </w:rPr>
        <w:t xml:space="preserve">Likely Cause: </w:t>
      </w:r>
      <w:r>
        <w:rPr>
          <w:color w:val="262626"/>
          <w:sz w:val="20"/>
          <w:szCs w:val="20"/>
        </w:rPr>
        <w:t xml:space="preserve">The exchange rate table has not been updated for the required date, or the exchange rate type used in the document type/company code configuration does not match what is maintained.</w:t>
      </w:r>
    </w:p>
    <w:p>
      <w:pPr>
        <w:spacing w:after="40"/>
        <w:ind w:left="120"/>
      </w:pPr>
      <w:r>
        <w:rPr>
          <w:b/>
          <w:bCs/>
          <w:color w:val="1F6631"/>
          <w:sz w:val="20"/>
          <w:szCs w:val="20"/>
        </w:rPr>
        <w:t xml:space="preserve">Resolution: </w:t>
      </w:r>
      <w:r>
        <w:rPr>
          <w:color w:val="262626"/>
          <w:sz w:val="20"/>
          <w:szCs w:val="20"/>
        </w:rPr>
        <w:t xml:space="preserve">Maintain the missing daily or period rate for the currency pair, or set up an automatic exchange rate feed/update job so rates are refreshed proactively.</w:t>
      </w:r>
    </w:p>
    <w:p>
      <w:pPr>
        <w:spacing w:after="180"/>
        <w:ind w:left="120"/>
      </w:pPr>
      <w:r>
        <w:rPr>
          <w:b/>
          <w:bCs/>
          <w:i/>
          <w:iCs/>
          <w:color w:val="595959"/>
          <w:sz w:val="18"/>
          <w:szCs w:val="18"/>
        </w:rPr>
        <w:t xml:space="preserve">Relevant T-code(s): </w:t>
      </w:r>
      <w:r>
        <w:rPr>
          <w:i/>
          <w:iCs/>
          <w:color w:val="595959"/>
          <w:sz w:val="18"/>
          <w:szCs w:val="18"/>
        </w:rPr>
        <w:t xml:space="preserve">OB08</w:t>
      </w:r>
    </w:p>
    <w:p>
      <w:pPr>
        <w:pStyle w:val="Heading1"/>
        <w:pBdr>
          <w:bottom w:val="single" w:color="B8860B" w:sz="8" w:space="4"/>
        </w:pBdr>
        <w:spacing w:after="160" w:before="360"/>
      </w:pPr>
      <w:r>
        <w:rPr>
          <w:b/>
          <w:bCs/>
          <w:color w:val="1F3864"/>
          <w:sz w:val="28"/>
          <w:szCs w:val="28"/>
        </w:rPr>
        <w:t xml:space="preserve">4. Common Issues: Accounts Payable (FI-AP)</w:t>
      </w:r>
    </w:p>
    <w:p>
      <w:pPr>
        <w:shd w:fill="F2F2F2" w:color="auto" w:val="clear"/>
        <w:spacing w:after="60" w:before="200"/>
      </w:pPr>
      <w:r>
        <w:rPr>
          <w:b/>
          <w:bCs/>
          <w:color w:val="1F3864"/>
          <w:sz w:val="22"/>
          <w:szCs w:val="22"/>
        </w:rPr>
        <w:t xml:space="preserve">4.1 Vendor Blocked for Posting or Payment</w:t>
      </w:r>
    </w:p>
    <w:p>
      <w:pPr>
        <w:spacing w:after="40"/>
        <w:ind w:left="120"/>
      </w:pPr>
      <w:r>
        <w:rPr>
          <w:b/>
          <w:bCs/>
          <w:color w:val="9C2B2B"/>
          <w:sz w:val="20"/>
          <w:szCs w:val="20"/>
        </w:rPr>
        <w:t xml:space="preserve">Symptom: </w:t>
      </w:r>
      <w:r>
        <w:rPr>
          <w:color w:val="262626"/>
          <w:sz w:val="20"/>
          <w:szCs w:val="20"/>
        </w:rPr>
        <w:t xml:space="preserve">An invoice cannot be posted, or a vendor is skipped entirely during a payment run, with no visible error to the AP clerk.</w:t>
      </w:r>
    </w:p>
    <w:p>
      <w:pPr>
        <w:spacing w:after="40"/>
        <w:ind w:left="120"/>
      </w:pPr>
      <w:r>
        <w:rPr>
          <w:b/>
          <w:bCs/>
          <w:color w:val="595959"/>
          <w:sz w:val="20"/>
          <w:szCs w:val="20"/>
        </w:rPr>
        <w:t xml:space="preserve">Likely Cause: </w:t>
      </w:r>
      <w:r>
        <w:rPr>
          <w:color w:val="262626"/>
          <w:sz w:val="20"/>
          <w:szCs w:val="20"/>
        </w:rPr>
        <w:t xml:space="preserve">The vendor master is deliberately blocked (posting block or payment block) — often set after a duplicate-invoice flag, a compliance hold, or a data-quality review.</w:t>
      </w:r>
    </w:p>
    <w:p>
      <w:pPr>
        <w:spacing w:after="40"/>
        <w:ind w:left="120"/>
      </w:pPr>
      <w:r>
        <w:rPr>
          <w:b/>
          <w:bCs/>
          <w:color w:val="1F6631"/>
          <w:sz w:val="20"/>
          <w:szCs w:val="20"/>
        </w:rPr>
        <w:t xml:space="preserve">Resolution: </w:t>
      </w:r>
      <w:r>
        <w:rPr>
          <w:color w:val="262626"/>
          <w:sz w:val="20"/>
          <w:szCs w:val="20"/>
        </w:rPr>
        <w:t xml:space="preserve">Confirm with AP/Procurement why the block exists before removing it. If it is a legitimate hold, leave it in place and inform the requester; if resolved, remove the block at the correct organizational level (company code or centrally).</w:t>
      </w:r>
    </w:p>
    <w:p>
      <w:pPr>
        <w:spacing w:after="180"/>
        <w:ind w:left="120"/>
      </w:pPr>
      <w:r>
        <w:rPr>
          <w:b/>
          <w:bCs/>
          <w:i/>
          <w:iCs/>
          <w:color w:val="595959"/>
          <w:sz w:val="18"/>
          <w:szCs w:val="18"/>
        </w:rPr>
        <w:t xml:space="preserve">Relevant T-code(s): </w:t>
      </w:r>
      <w:r>
        <w:rPr>
          <w:i/>
          <w:iCs/>
          <w:color w:val="595959"/>
          <w:sz w:val="18"/>
          <w:szCs w:val="18"/>
        </w:rPr>
        <w:t xml:space="preserve">FK05, XK05</w:t>
      </w:r>
    </w:p>
    <w:p>
      <w:pPr>
        <w:shd w:fill="F2F2F2" w:color="auto" w:val="clear"/>
        <w:spacing w:after="60" w:before="200"/>
      </w:pPr>
      <w:r>
        <w:rPr>
          <w:b/>
          <w:bCs/>
          <w:color w:val="1F3864"/>
          <w:sz w:val="22"/>
          <w:szCs w:val="22"/>
        </w:rPr>
        <w:t xml:space="preserve">4.2 Payment Run (F110) Skips a Vendor / Produces an Exception List</w:t>
      </w:r>
    </w:p>
    <w:p>
      <w:pPr>
        <w:spacing w:after="40"/>
        <w:ind w:left="120"/>
      </w:pPr>
      <w:r>
        <w:rPr>
          <w:b/>
          <w:bCs/>
          <w:color w:val="9C2B2B"/>
          <w:sz w:val="20"/>
          <w:szCs w:val="20"/>
        </w:rPr>
        <w:t xml:space="preserve">Symptom: </w:t>
      </w:r>
      <w:r>
        <w:rPr>
          <w:color w:val="262626"/>
          <w:sz w:val="20"/>
          <w:szCs w:val="20"/>
        </w:rPr>
        <w:t xml:space="preserve">After executing the automatic payment program, one or more open items do not get paid and appear in the exception log.</w:t>
      </w:r>
    </w:p>
    <w:p>
      <w:pPr>
        <w:spacing w:after="40"/>
        <w:ind w:left="120"/>
      </w:pPr>
      <w:r>
        <w:rPr>
          <w:b/>
          <w:bCs/>
          <w:color w:val="595959"/>
          <w:sz w:val="20"/>
          <w:szCs w:val="20"/>
        </w:rPr>
        <w:t xml:space="preserve">Likely Cause: </w:t>
      </w:r>
      <w:r>
        <w:rPr>
          <w:color w:val="262626"/>
          <w:sz w:val="20"/>
          <w:szCs w:val="20"/>
        </w:rPr>
        <w:t xml:space="preserve">Common causes include a missing or incomplete house bank/payment method on the vendor master, a payment block on the item, a missing payment method in the company code's payment program configuration, or the item falling outside the run's due-date selection.</w:t>
      </w:r>
    </w:p>
    <w:p>
      <w:pPr>
        <w:spacing w:after="40"/>
        <w:ind w:left="120"/>
      </w:pPr>
      <w:r>
        <w:rPr>
          <w:b/>
          <w:bCs/>
          <w:color w:val="1F6631"/>
          <w:sz w:val="20"/>
          <w:szCs w:val="20"/>
        </w:rPr>
        <w:t xml:space="preserve">Resolution: </w:t>
      </w:r>
      <w:r>
        <w:rPr>
          <w:color w:val="262626"/>
          <w:sz w:val="20"/>
          <w:szCs w:val="20"/>
        </w:rPr>
        <w:t xml:space="preserve">Review the payment proposal log line by line: correct the vendor's bank details or payment method, remove any unwarranted block, and re-run the proposal before executing the actual payment run.</w:t>
      </w:r>
    </w:p>
    <w:p>
      <w:pPr>
        <w:spacing w:after="180"/>
        <w:ind w:left="120"/>
      </w:pPr>
      <w:r>
        <w:rPr>
          <w:b/>
          <w:bCs/>
          <w:i/>
          <w:iCs/>
          <w:color w:val="595959"/>
          <w:sz w:val="18"/>
          <w:szCs w:val="18"/>
        </w:rPr>
        <w:t xml:space="preserve">Relevant T-code(s): </w:t>
      </w:r>
      <w:r>
        <w:rPr>
          <w:i/>
          <w:iCs/>
          <w:color w:val="595959"/>
          <w:sz w:val="18"/>
          <w:szCs w:val="18"/>
        </w:rPr>
        <w:t xml:space="preserve">F110, FBZP</w:t>
      </w:r>
    </w:p>
    <w:p>
      <w:pPr>
        <w:shd w:fill="F2F2F2" w:color="auto" w:val="clear"/>
        <w:spacing w:after="60" w:before="200"/>
      </w:pPr>
      <w:r>
        <w:rPr>
          <w:b/>
          <w:bCs/>
          <w:color w:val="1F3864"/>
          <w:sz w:val="22"/>
          <w:szCs w:val="22"/>
        </w:rPr>
        <w:t xml:space="preserve">4.3 Duplicate Invoice Posted</w:t>
      </w:r>
    </w:p>
    <w:p>
      <w:pPr>
        <w:spacing w:after="40"/>
        <w:ind w:left="120"/>
      </w:pPr>
      <w:r>
        <w:rPr>
          <w:b/>
          <w:bCs/>
          <w:color w:val="9C2B2B"/>
          <w:sz w:val="20"/>
          <w:szCs w:val="20"/>
        </w:rPr>
        <w:t xml:space="preserve">Symptom: </w:t>
      </w:r>
      <w:r>
        <w:rPr>
          <w:color w:val="262626"/>
          <w:sz w:val="20"/>
          <w:szCs w:val="20"/>
        </w:rPr>
        <w:t xml:space="preserve">The same vendor invoice is posted twice, inflating the payables balance and risking a duplicate payment.</w:t>
      </w:r>
    </w:p>
    <w:p>
      <w:pPr>
        <w:spacing w:after="40"/>
        <w:ind w:left="120"/>
      </w:pPr>
      <w:r>
        <w:rPr>
          <w:b/>
          <w:bCs/>
          <w:color w:val="595959"/>
          <w:sz w:val="20"/>
          <w:szCs w:val="20"/>
        </w:rPr>
        <w:t xml:space="preserve">Likely Cause: </w:t>
      </w:r>
      <w:r>
        <w:rPr>
          <w:color w:val="262626"/>
          <w:sz w:val="20"/>
          <w:szCs w:val="20"/>
        </w:rPr>
        <w:t xml:space="preserve">The duplicate invoice check (based on vendor, invoice date, reference, and amount) is not active, or the AP clerk overrode the warning message.</w:t>
      </w:r>
    </w:p>
    <w:p>
      <w:pPr>
        <w:spacing w:after="40"/>
        <w:ind w:left="120"/>
      </w:pPr>
      <w:r>
        <w:rPr>
          <w:b/>
          <w:bCs/>
          <w:color w:val="1F6631"/>
          <w:sz w:val="20"/>
          <w:szCs w:val="20"/>
        </w:rPr>
        <w:t xml:space="preserve">Resolution: </w:t>
      </w:r>
      <w:r>
        <w:rPr>
          <w:color w:val="262626"/>
          <w:sz w:val="20"/>
          <w:szCs w:val="20"/>
        </w:rPr>
        <w:t xml:space="preserve">Activate the duplicate invoice check in company code settings for the vendor account group, reverse the duplicate document, and clear the resulting balance correctly.</w:t>
      </w:r>
    </w:p>
    <w:p>
      <w:pPr>
        <w:spacing w:after="180"/>
        <w:ind w:left="120"/>
      </w:pPr>
      <w:r>
        <w:rPr>
          <w:b/>
          <w:bCs/>
          <w:i/>
          <w:iCs/>
          <w:color w:val="595959"/>
          <w:sz w:val="18"/>
          <w:szCs w:val="18"/>
        </w:rPr>
        <w:t xml:space="preserve">Relevant T-code(s): </w:t>
      </w:r>
      <w:r>
        <w:rPr>
          <w:i/>
          <w:iCs/>
          <w:color w:val="595959"/>
          <w:sz w:val="18"/>
          <w:szCs w:val="18"/>
        </w:rPr>
        <w:t xml:space="preserve">OBA5 / FBL1N (to identify), FB08 (to reverse)</w:t>
      </w:r>
    </w:p>
    <w:p>
      <w:pPr>
        <w:shd w:fill="F2F2F2" w:color="auto" w:val="clear"/>
        <w:spacing w:after="60" w:before="200"/>
      </w:pPr>
      <w:r>
        <w:rPr>
          <w:b/>
          <w:bCs/>
          <w:color w:val="1F3864"/>
          <w:sz w:val="22"/>
          <w:szCs w:val="22"/>
        </w:rPr>
        <w:t xml:space="preserve">4.4 Withholding Tax Not Calculated on an Invoice</w:t>
      </w:r>
    </w:p>
    <w:p>
      <w:pPr>
        <w:spacing w:after="40"/>
        <w:ind w:left="120"/>
      </w:pPr>
      <w:r>
        <w:rPr>
          <w:b/>
          <w:bCs/>
          <w:color w:val="9C2B2B"/>
          <w:sz w:val="20"/>
          <w:szCs w:val="20"/>
        </w:rPr>
        <w:t xml:space="preserve">Symptom: </w:t>
      </w:r>
      <w:r>
        <w:rPr>
          <w:color w:val="262626"/>
          <w:sz w:val="20"/>
          <w:szCs w:val="20"/>
        </w:rPr>
        <w:t xml:space="preserve">An invoice posts successfully, but the expected withholding tax (TDS) line does not appear.</w:t>
      </w:r>
    </w:p>
    <w:p>
      <w:pPr>
        <w:spacing w:after="40"/>
        <w:ind w:left="120"/>
      </w:pPr>
      <w:r>
        <w:rPr>
          <w:b/>
          <w:bCs/>
          <w:color w:val="595959"/>
          <w:sz w:val="20"/>
          <w:szCs w:val="20"/>
        </w:rPr>
        <w:t xml:space="preserve">Likely Cause: </w:t>
      </w:r>
      <w:r>
        <w:rPr>
          <w:color w:val="262626"/>
          <w:sz w:val="20"/>
          <w:szCs w:val="20"/>
        </w:rPr>
        <w:t xml:space="preserve">Withholding tax type/code is not maintained on the vendor master, or the withholding tax base amount/exemption configuration excludes this transaction.</w:t>
      </w:r>
    </w:p>
    <w:p>
      <w:pPr>
        <w:spacing w:after="40"/>
        <w:ind w:left="120"/>
      </w:pPr>
      <w:r>
        <w:rPr>
          <w:b/>
          <w:bCs/>
          <w:color w:val="1F6631"/>
          <w:sz w:val="20"/>
          <w:szCs w:val="20"/>
        </w:rPr>
        <w:t xml:space="preserve">Resolution: </w:t>
      </w:r>
      <w:r>
        <w:rPr>
          <w:color w:val="262626"/>
          <w:sz w:val="20"/>
          <w:szCs w:val="20"/>
        </w:rPr>
        <w:t xml:space="preserve">Maintain the correct withholding tax type and code on the vendor master (with the appropriate validity dates) and confirm the withholding tax configuration is assigned to the company code.</w:t>
      </w:r>
    </w:p>
    <w:p>
      <w:pPr>
        <w:spacing w:after="180"/>
        <w:ind w:left="120"/>
      </w:pPr>
      <w:r>
        <w:rPr>
          <w:b/>
          <w:bCs/>
          <w:i/>
          <w:iCs/>
          <w:color w:val="595959"/>
          <w:sz w:val="18"/>
          <w:szCs w:val="18"/>
        </w:rPr>
        <w:t xml:space="preserve">Relevant T-code(s): </w:t>
      </w:r>
      <w:r>
        <w:rPr>
          <w:i/>
          <w:iCs/>
          <w:color w:val="595959"/>
          <w:sz w:val="18"/>
          <w:szCs w:val="18"/>
        </w:rPr>
        <w:t xml:space="preserve">FK02, OBWW</w:t>
      </w:r>
    </w:p>
    <w:p>
      <w:pPr>
        <w:pStyle w:val="Heading1"/>
        <w:pBdr>
          <w:bottom w:val="single" w:color="B8860B" w:sz="8" w:space="4"/>
        </w:pBdr>
        <w:spacing w:after="160" w:before="360"/>
      </w:pPr>
      <w:r>
        <w:rPr>
          <w:b/>
          <w:bCs/>
          <w:color w:val="1F3864"/>
          <w:sz w:val="28"/>
          <w:szCs w:val="28"/>
        </w:rPr>
        <w:t xml:space="preserve">5. Common Issues: Accounts Receivable (FI-AR)</w:t>
      </w:r>
    </w:p>
    <w:p>
      <w:pPr>
        <w:shd w:fill="F2F2F2" w:color="auto" w:val="clear"/>
        <w:spacing w:after="60" w:before="200"/>
      </w:pPr>
      <w:r>
        <w:rPr>
          <w:b/>
          <w:bCs/>
          <w:color w:val="1F3864"/>
          <w:sz w:val="22"/>
          <w:szCs w:val="22"/>
        </w:rPr>
        <w:t xml:space="preserve">5.1 Sales Order or Billing Blocked by Credit Management</w:t>
      </w:r>
    </w:p>
    <w:p>
      <w:pPr>
        <w:spacing w:after="40"/>
        <w:ind w:left="120"/>
      </w:pPr>
      <w:r>
        <w:rPr>
          <w:b/>
          <w:bCs/>
          <w:color w:val="9C2B2B"/>
          <w:sz w:val="20"/>
          <w:szCs w:val="20"/>
        </w:rPr>
        <w:t xml:space="preserve">Symptom: </w:t>
      </w:r>
      <w:r>
        <w:rPr>
          <w:color w:val="262626"/>
          <w:sz w:val="20"/>
          <w:szCs w:val="20"/>
        </w:rPr>
        <w:t xml:space="preserve">A customer order or billing document is blocked, referencing that the customer has exceeded their credit limit.</w:t>
      </w:r>
    </w:p>
    <w:p>
      <w:pPr>
        <w:spacing w:after="40"/>
        <w:ind w:left="120"/>
      </w:pPr>
      <w:r>
        <w:rPr>
          <w:b/>
          <w:bCs/>
          <w:color w:val="595959"/>
          <w:sz w:val="20"/>
          <w:szCs w:val="20"/>
        </w:rPr>
        <w:t xml:space="preserve">Likely Cause: </w:t>
      </w:r>
      <w:r>
        <w:rPr>
          <w:color w:val="262626"/>
          <w:sz w:val="20"/>
          <w:szCs w:val="20"/>
        </w:rPr>
        <w:t xml:space="preserve">The customer's outstanding receivables plus open sales value has crossed the credit limit maintained in the customer's credit master, or the credit limit itself is outdated.</w:t>
      </w:r>
    </w:p>
    <w:p>
      <w:pPr>
        <w:spacing w:after="40"/>
        <w:ind w:left="120"/>
      </w:pPr>
      <w:r>
        <w:rPr>
          <w:b/>
          <w:bCs/>
          <w:color w:val="1F6631"/>
          <w:sz w:val="20"/>
          <w:szCs w:val="20"/>
        </w:rPr>
        <w:t xml:space="preserve">Resolution: </w:t>
      </w:r>
      <w:r>
        <w:rPr>
          <w:color w:val="262626"/>
          <w:sz w:val="20"/>
          <w:szCs w:val="20"/>
        </w:rPr>
        <w:t xml:space="preserve">Review the customer's current exposure and payment history with the credit controller; either release the block after justified review or ask the customer to reduce open balances/renegotiate terms.</w:t>
      </w:r>
    </w:p>
    <w:p>
      <w:pPr>
        <w:spacing w:after="180"/>
        <w:ind w:left="120"/>
      </w:pPr>
      <w:r>
        <w:rPr>
          <w:b/>
          <w:bCs/>
          <w:i/>
          <w:iCs/>
          <w:color w:val="595959"/>
          <w:sz w:val="18"/>
          <w:szCs w:val="18"/>
        </w:rPr>
        <w:t xml:space="preserve">Relevant T-code(s): </w:t>
      </w:r>
      <w:r>
        <w:rPr>
          <w:i/>
          <w:iCs/>
          <w:color w:val="595959"/>
          <w:sz w:val="18"/>
          <w:szCs w:val="18"/>
        </w:rPr>
        <w:t xml:space="preserve">FD32/UKM_BP (S/4HANA), VKM3/VKM4</w:t>
      </w:r>
    </w:p>
    <w:p>
      <w:pPr>
        <w:shd w:fill="F2F2F2" w:color="auto" w:val="clear"/>
        <w:spacing w:after="60" w:before="200"/>
      </w:pPr>
      <w:r>
        <w:rPr>
          <w:b/>
          <w:bCs/>
          <w:color w:val="1F3864"/>
          <w:sz w:val="22"/>
          <w:szCs w:val="22"/>
        </w:rPr>
        <w:t xml:space="preserve">5.2 Dunning Notices Not Generated for Overdue Customers</w:t>
      </w:r>
    </w:p>
    <w:p>
      <w:pPr>
        <w:spacing w:after="40"/>
        <w:ind w:left="120"/>
      </w:pPr>
      <w:r>
        <w:rPr>
          <w:b/>
          <w:bCs/>
          <w:color w:val="9C2B2B"/>
          <w:sz w:val="20"/>
          <w:szCs w:val="20"/>
        </w:rPr>
        <w:t xml:space="preserve">Symptom: </w:t>
      </w:r>
      <w:r>
        <w:rPr>
          <w:color w:val="262626"/>
          <w:sz w:val="20"/>
          <w:szCs w:val="20"/>
        </w:rPr>
        <w:t xml:space="preserve">The dunning run completes, but expected customers/invoices do not receive a dunning notice.</w:t>
      </w:r>
    </w:p>
    <w:p>
      <w:pPr>
        <w:spacing w:after="40"/>
        <w:ind w:left="120"/>
      </w:pPr>
      <w:r>
        <w:rPr>
          <w:b/>
          <w:bCs/>
          <w:color w:val="595959"/>
          <w:sz w:val="20"/>
          <w:szCs w:val="20"/>
        </w:rPr>
        <w:t xml:space="preserve">Likely Cause: </w:t>
      </w:r>
      <w:r>
        <w:rPr>
          <w:color w:val="262626"/>
          <w:sz w:val="20"/>
          <w:szCs w:val="20"/>
        </w:rPr>
        <w:t xml:space="preserve">The customer master is not assigned to a dunning procedure, the item is blocked from dunning, or the item has not yet reached the minimum days-overdue threshold defined in the dunning procedure.</w:t>
      </w:r>
    </w:p>
    <w:p>
      <w:pPr>
        <w:spacing w:after="40"/>
        <w:ind w:left="120"/>
      </w:pPr>
      <w:r>
        <w:rPr>
          <w:b/>
          <w:bCs/>
          <w:color w:val="1F6631"/>
          <w:sz w:val="20"/>
          <w:szCs w:val="20"/>
        </w:rPr>
        <w:t xml:space="preserve">Resolution: </w:t>
      </w:r>
      <w:r>
        <w:rPr>
          <w:color w:val="262626"/>
          <w:sz w:val="20"/>
          <w:szCs w:val="20"/>
        </w:rPr>
        <w:t xml:space="preserve">Confirm the dunning procedure is assigned on the customer master, check for a dunning block on the specific line item, and review the dunning level/interval configuration against the item's age.</w:t>
      </w:r>
    </w:p>
    <w:p>
      <w:pPr>
        <w:spacing w:after="180"/>
        <w:ind w:left="120"/>
      </w:pPr>
      <w:r>
        <w:rPr>
          <w:b/>
          <w:bCs/>
          <w:i/>
          <w:iCs/>
          <w:color w:val="595959"/>
          <w:sz w:val="18"/>
          <w:szCs w:val="18"/>
        </w:rPr>
        <w:t xml:space="preserve">Relevant T-code(s): </w:t>
      </w:r>
      <w:r>
        <w:rPr>
          <w:i/>
          <w:iCs/>
          <w:color w:val="595959"/>
          <w:sz w:val="18"/>
          <w:szCs w:val="18"/>
        </w:rPr>
        <w:t xml:space="preserve">FD03, F150</w:t>
      </w:r>
    </w:p>
    <w:p>
      <w:pPr>
        <w:shd w:fill="F2F2F2" w:color="auto" w:val="clear"/>
        <w:spacing w:after="60" w:before="200"/>
      </w:pPr>
      <w:r>
        <w:rPr>
          <w:b/>
          <w:bCs/>
          <w:color w:val="1F3864"/>
          <w:sz w:val="22"/>
          <w:szCs w:val="22"/>
        </w:rPr>
        <w:t xml:space="preserve">5.3 Incoming Payment Does Not Clear the Invoice</w:t>
      </w:r>
    </w:p>
    <w:p>
      <w:pPr>
        <w:spacing w:after="40"/>
        <w:ind w:left="120"/>
      </w:pPr>
      <w:r>
        <w:rPr>
          <w:b/>
          <w:bCs/>
          <w:color w:val="9C2B2B"/>
          <w:sz w:val="20"/>
          <w:szCs w:val="20"/>
        </w:rPr>
        <w:t xml:space="preserve">Symptom: </w:t>
      </w:r>
      <w:r>
        <w:rPr>
          <w:color w:val="262626"/>
          <w:sz w:val="20"/>
          <w:szCs w:val="20"/>
        </w:rPr>
        <w:t xml:space="preserve">A customer payment is posted but remains open instead of automatically clearing against the original invoice.</w:t>
      </w:r>
    </w:p>
    <w:p>
      <w:pPr>
        <w:spacing w:after="40"/>
        <w:ind w:left="120"/>
      </w:pPr>
      <w:r>
        <w:rPr>
          <w:b/>
          <w:bCs/>
          <w:color w:val="595959"/>
          <w:sz w:val="20"/>
          <w:szCs w:val="20"/>
        </w:rPr>
        <w:t xml:space="preserve">Likely Cause: </w:t>
      </w:r>
      <w:r>
        <w:rPr>
          <w:color w:val="262626"/>
          <w:sz w:val="20"/>
          <w:szCs w:val="20"/>
        </w:rPr>
        <w:t xml:space="preserve">The payment amount does not exactly match the invoice (partial payment, deduction, or exchange rate difference), or the clearing/tolerance configuration does not allow auto-clearing for the variance.</w:t>
      </w:r>
    </w:p>
    <w:p>
      <w:pPr>
        <w:spacing w:after="40"/>
        <w:ind w:left="120"/>
      </w:pPr>
      <w:r>
        <w:rPr>
          <w:b/>
          <w:bCs/>
          <w:color w:val="1F6631"/>
          <w:sz w:val="20"/>
          <w:szCs w:val="20"/>
        </w:rPr>
        <w:t xml:space="preserve">Resolution: </w:t>
      </w:r>
      <w:r>
        <w:rPr>
          <w:color w:val="262626"/>
          <w:sz w:val="20"/>
          <w:szCs w:val="20"/>
        </w:rPr>
        <w:t xml:space="preserve">Post the payment as a partial or residual item as appropriate, or adjust the payment difference within configured tolerance limits so it clears with a small write-off/gain-loss posting.</w:t>
      </w:r>
    </w:p>
    <w:p>
      <w:pPr>
        <w:spacing w:after="180"/>
        <w:ind w:left="120"/>
      </w:pPr>
      <w:r>
        <w:rPr>
          <w:b/>
          <w:bCs/>
          <w:i/>
          <w:iCs/>
          <w:color w:val="595959"/>
          <w:sz w:val="18"/>
          <w:szCs w:val="18"/>
        </w:rPr>
        <w:t xml:space="preserve">Relevant T-code(s): </w:t>
      </w:r>
      <w:r>
        <w:rPr>
          <w:i/>
          <w:iCs/>
          <w:color w:val="595959"/>
          <w:sz w:val="18"/>
          <w:szCs w:val="18"/>
        </w:rPr>
        <w:t xml:space="preserve">F-28, OBA3</w:t>
      </w:r>
    </w:p>
    <w:p>
      <w:pPr>
        <w:pStyle w:val="Heading1"/>
        <w:pBdr>
          <w:bottom w:val="single" w:color="B8860B" w:sz="8" w:space="4"/>
        </w:pBdr>
        <w:spacing w:after="160" w:before="360"/>
      </w:pPr>
      <w:r>
        <w:rPr>
          <w:b/>
          <w:bCs/>
          <w:color w:val="1F3864"/>
          <w:sz w:val="28"/>
          <w:szCs w:val="28"/>
        </w:rPr>
        <w:t xml:space="preserve">6. Common Issues: Asset Accounting (FI-AA)</w:t>
      </w:r>
    </w:p>
    <w:p>
      <w:pPr>
        <w:shd w:fill="F2F2F2" w:color="auto" w:val="clear"/>
        <w:spacing w:after="60" w:before="200"/>
      </w:pPr>
      <w:r>
        <w:rPr>
          <w:b/>
          <w:bCs/>
          <w:color w:val="1F3864"/>
          <w:sz w:val="22"/>
          <w:szCs w:val="22"/>
        </w:rPr>
        <w:t xml:space="preserve">6.1 Depreciation Not Posting During the Depreciation Run</w:t>
      </w:r>
    </w:p>
    <w:p>
      <w:pPr>
        <w:spacing w:after="40"/>
        <w:ind w:left="120"/>
      </w:pPr>
      <w:r>
        <w:rPr>
          <w:b/>
          <w:bCs/>
          <w:color w:val="9C2B2B"/>
          <w:sz w:val="20"/>
          <w:szCs w:val="20"/>
        </w:rPr>
        <w:t xml:space="preserve">Symptom: </w:t>
      </w:r>
      <w:r>
        <w:rPr>
          <w:color w:val="262626"/>
          <w:sz w:val="20"/>
          <w:szCs w:val="20"/>
        </w:rPr>
        <w:t xml:space="preserve">The periodic depreciation run (background job) completes but one or more assets show no depreciation posted for the period.</w:t>
      </w:r>
    </w:p>
    <w:p>
      <w:pPr>
        <w:spacing w:after="40"/>
        <w:ind w:left="120"/>
      </w:pPr>
      <w:r>
        <w:rPr>
          <w:b/>
          <w:bCs/>
          <w:color w:val="595959"/>
          <w:sz w:val="20"/>
          <w:szCs w:val="20"/>
        </w:rPr>
        <w:t xml:space="preserve">Likely Cause: </w:t>
      </w:r>
      <w:r>
        <w:rPr>
          <w:color w:val="262626"/>
          <w:sz w:val="20"/>
          <w:szCs w:val="20"/>
        </w:rPr>
        <w:t xml:space="preserve">The asset was capitalized after the depreciation run's cutoff, a depreciation key or useful life is missing on the asset master, or the asset is locked for depreciation processing.</w:t>
      </w:r>
    </w:p>
    <w:p>
      <w:pPr>
        <w:spacing w:after="40"/>
        <w:ind w:left="120"/>
      </w:pPr>
      <w:r>
        <w:rPr>
          <w:b/>
          <w:bCs/>
          <w:color w:val="1F6631"/>
          <w:sz w:val="20"/>
          <w:szCs w:val="20"/>
        </w:rPr>
        <w:t xml:space="preserve">Resolution: </w:t>
      </w:r>
      <w:r>
        <w:rPr>
          <w:color w:val="262626"/>
          <w:sz w:val="20"/>
          <w:szCs w:val="20"/>
        </w:rPr>
        <w:t xml:space="preserve">Review the depreciation run log for the specific asset's error line, correct the depreciation key/useful life/start date on the asset master, and repeat the run for the affected assets.</w:t>
      </w:r>
    </w:p>
    <w:p>
      <w:pPr>
        <w:spacing w:after="180"/>
        <w:ind w:left="120"/>
      </w:pPr>
      <w:r>
        <w:rPr>
          <w:b/>
          <w:bCs/>
          <w:i/>
          <w:iCs/>
          <w:color w:val="595959"/>
          <w:sz w:val="18"/>
          <w:szCs w:val="18"/>
        </w:rPr>
        <w:t xml:space="preserve">Relevant T-code(s): </w:t>
      </w:r>
      <w:r>
        <w:rPr>
          <w:i/>
          <w:iCs/>
          <w:color w:val="595959"/>
          <w:sz w:val="18"/>
          <w:szCs w:val="18"/>
        </w:rPr>
        <w:t xml:space="preserve">AFAB, AW01N</w:t>
      </w:r>
    </w:p>
    <w:p>
      <w:pPr>
        <w:shd w:fill="F2F2F2" w:color="auto" w:val="clear"/>
        <w:spacing w:after="60" w:before="200"/>
      </w:pPr>
      <w:r>
        <w:rPr>
          <w:b/>
          <w:bCs/>
          <w:color w:val="1F3864"/>
          <w:sz w:val="22"/>
          <w:szCs w:val="22"/>
        </w:rPr>
        <w:t xml:space="preserve">6.2 Asset Values Do Not Match the Sub-ledger (GL vs. Asset Register Mismatch)</w:t>
      </w:r>
    </w:p>
    <w:p>
      <w:pPr>
        <w:spacing w:after="40"/>
        <w:ind w:left="120"/>
      </w:pPr>
      <w:r>
        <w:rPr>
          <w:b/>
          <w:bCs/>
          <w:color w:val="9C2B2B"/>
          <w:sz w:val="20"/>
          <w:szCs w:val="20"/>
        </w:rPr>
        <w:t xml:space="preserve">Symptom: </w:t>
      </w:r>
      <w:r>
        <w:rPr>
          <w:color w:val="262626"/>
          <w:sz w:val="20"/>
          <w:szCs w:val="20"/>
        </w:rPr>
        <w:t xml:space="preserve">The total of asset values in Asset Accounting does not agree with the corresponding reconciliation account balance in the General Ledger.</w:t>
      </w:r>
    </w:p>
    <w:p>
      <w:pPr>
        <w:spacing w:after="40"/>
        <w:ind w:left="120"/>
      </w:pPr>
      <w:r>
        <w:rPr>
          <w:b/>
          <w:bCs/>
          <w:color w:val="595959"/>
          <w:sz w:val="20"/>
          <w:szCs w:val="20"/>
        </w:rPr>
        <w:t xml:space="preserve">Likely Cause: </w:t>
      </w:r>
      <w:r>
        <w:rPr>
          <w:color w:val="262626"/>
          <w:sz w:val="20"/>
          <w:szCs w:val="20"/>
        </w:rPr>
        <w:t xml:space="preserve">A direct posting was made to the asset reconciliation account in GL (bypassing Asset Accounting), or a legacy data transfer was not fully reconciled at cutover.</w:t>
      </w:r>
    </w:p>
    <w:p>
      <w:pPr>
        <w:spacing w:after="40"/>
        <w:ind w:left="120"/>
      </w:pPr>
      <w:r>
        <w:rPr>
          <w:b/>
          <w:bCs/>
          <w:color w:val="1F6631"/>
          <w:sz w:val="20"/>
          <w:szCs w:val="20"/>
        </w:rPr>
        <w:t xml:space="preserve">Resolution: </w:t>
      </w:r>
      <w:r>
        <w:rPr>
          <w:color w:val="262626"/>
          <w:sz w:val="20"/>
          <w:szCs w:val="20"/>
        </w:rPr>
        <w:t xml:space="preserve">Identify and reverse any direct GL postings to asset reconciliation accounts, and re-run the reconciliation program to confirm GL and Asset Accounting are back in sync.</w:t>
      </w:r>
    </w:p>
    <w:p>
      <w:pPr>
        <w:spacing w:after="180"/>
        <w:ind w:left="120"/>
      </w:pPr>
      <w:r>
        <w:rPr>
          <w:b/>
          <w:bCs/>
          <w:i/>
          <w:iCs/>
          <w:color w:val="595959"/>
          <w:sz w:val="18"/>
          <w:szCs w:val="18"/>
        </w:rPr>
        <w:t xml:space="preserve">Relevant T-code(s): </w:t>
      </w:r>
      <w:r>
        <w:rPr>
          <w:i/>
          <w:iCs/>
          <w:color w:val="595959"/>
          <w:sz w:val="18"/>
          <w:szCs w:val="18"/>
        </w:rPr>
        <w:t xml:space="preserve">ABST2, AW01N</w:t>
      </w:r>
    </w:p>
    <w:p>
      <w:pPr>
        <w:shd w:fill="F2F2F2" w:color="auto" w:val="clear"/>
        <w:spacing w:after="60" w:before="200"/>
      </w:pPr>
      <w:r>
        <w:rPr>
          <w:b/>
          <w:bCs/>
          <w:color w:val="1F3864"/>
          <w:sz w:val="22"/>
          <w:szCs w:val="22"/>
        </w:rPr>
        <w:t xml:space="preserve">6.3 Legacy Asset Data Transfer Errors</w:t>
      </w:r>
    </w:p>
    <w:p>
      <w:pPr>
        <w:spacing w:after="40"/>
        <w:ind w:left="120"/>
      </w:pPr>
      <w:r>
        <w:rPr>
          <w:b/>
          <w:bCs/>
          <w:color w:val="9C2B2B"/>
          <w:sz w:val="20"/>
          <w:szCs w:val="20"/>
        </w:rPr>
        <w:t xml:space="preserve">Symptom: </w:t>
      </w:r>
      <w:r>
        <w:rPr>
          <w:color w:val="262626"/>
          <w:sz w:val="20"/>
          <w:szCs w:val="20"/>
        </w:rPr>
        <w:t xml:space="preserve">During an asset data migration/go-live, uploaded assets show incorrect opening accumulated depreciation or net book value.</w:t>
      </w:r>
    </w:p>
    <w:p>
      <w:pPr>
        <w:spacing w:after="40"/>
        <w:ind w:left="120"/>
      </w:pPr>
      <w:r>
        <w:rPr>
          <w:b/>
          <w:bCs/>
          <w:color w:val="595959"/>
          <w:sz w:val="20"/>
          <w:szCs w:val="20"/>
        </w:rPr>
        <w:t xml:space="preserve">Likely Cause: </w:t>
      </w:r>
      <w:r>
        <w:rPr>
          <w:color w:val="262626"/>
          <w:sz w:val="20"/>
          <w:szCs w:val="20"/>
        </w:rPr>
        <w:t xml:space="preserve">The legacy transfer date, transfer values, or depreciation-area mapping used in the upload does not match the source system's asset register as of the cutover date.</w:t>
      </w:r>
    </w:p>
    <w:p>
      <w:pPr>
        <w:spacing w:after="40"/>
        <w:ind w:left="120"/>
      </w:pPr>
      <w:r>
        <w:rPr>
          <w:b/>
          <w:bCs/>
          <w:color w:val="1F6631"/>
          <w:sz w:val="20"/>
          <w:szCs w:val="20"/>
        </w:rPr>
        <w:t xml:space="preserve">Resolution: </w:t>
      </w:r>
      <w:r>
        <w:rPr>
          <w:color w:val="262626"/>
          <w:sz w:val="20"/>
          <w:szCs w:val="20"/>
        </w:rPr>
        <w:t xml:space="preserve">Correct the legacy asset master values before the first depreciation run in the new system, and re-validate the asset register total against the trial balance before closing the transfer.</w:t>
      </w:r>
    </w:p>
    <w:p>
      <w:pPr>
        <w:spacing w:after="180"/>
        <w:ind w:left="120"/>
      </w:pPr>
      <w:r>
        <w:rPr>
          <w:b/>
          <w:bCs/>
          <w:i/>
          <w:iCs/>
          <w:color w:val="595959"/>
          <w:sz w:val="18"/>
          <w:szCs w:val="18"/>
        </w:rPr>
        <w:t xml:space="preserve">Relevant T-code(s): </w:t>
      </w:r>
      <w:r>
        <w:rPr>
          <w:i/>
          <w:iCs/>
          <w:color w:val="595959"/>
          <w:sz w:val="18"/>
          <w:szCs w:val="18"/>
        </w:rPr>
        <w:t xml:space="preserve">AS91, AS92, OASV</w:t>
      </w:r>
    </w:p>
    <w:p>
      <w:pPr>
        <w:pStyle w:val="Heading1"/>
        <w:pBdr>
          <w:bottom w:val="single" w:color="B8860B" w:sz="8" w:space="4"/>
        </w:pBdr>
        <w:spacing w:after="160" w:before="360"/>
      </w:pPr>
      <w:r>
        <w:rPr>
          <w:b/>
          <w:bCs/>
          <w:color w:val="1F3864"/>
          <w:sz w:val="28"/>
          <w:szCs w:val="28"/>
        </w:rPr>
        <w:t xml:space="preserve">7. Common Issues: Controlling (CO)</w:t>
      </w:r>
    </w:p>
    <w:p>
      <w:pPr>
        <w:shd w:fill="F2F2F2" w:color="auto" w:val="clear"/>
        <w:spacing w:after="60" w:before="200"/>
      </w:pPr>
      <w:r>
        <w:rPr>
          <w:b/>
          <w:bCs/>
          <w:color w:val="1F3864"/>
          <w:sz w:val="22"/>
          <w:szCs w:val="22"/>
        </w:rPr>
        <w:t xml:space="preserve">7.1 FI Posting Rejected for Missing Cost Object</w:t>
      </w:r>
    </w:p>
    <w:p>
      <w:pPr>
        <w:spacing w:after="40"/>
        <w:ind w:left="120"/>
      </w:pPr>
      <w:r>
        <w:rPr>
          <w:b/>
          <w:bCs/>
          <w:color w:val="9C2B2B"/>
          <w:sz w:val="20"/>
          <w:szCs w:val="20"/>
        </w:rPr>
        <w:t xml:space="preserve">Symptom: </w:t>
      </w:r>
      <w:r>
        <w:rPr>
          <w:color w:val="262626"/>
          <w:sz w:val="20"/>
          <w:szCs w:val="20"/>
        </w:rPr>
        <w:t xml:space="preserve">A GL posting to a primary cost element fails, asking for a cost center, order, or other CO account assignment.</w:t>
      </w:r>
    </w:p>
    <w:p>
      <w:pPr>
        <w:spacing w:after="40"/>
        <w:ind w:left="120"/>
      </w:pPr>
      <w:r>
        <w:rPr>
          <w:b/>
          <w:bCs/>
          <w:color w:val="595959"/>
          <w:sz w:val="20"/>
          <w:szCs w:val="20"/>
        </w:rPr>
        <w:t xml:space="preserve">Likely Cause: </w:t>
      </w:r>
      <w:r>
        <w:rPr>
          <w:color w:val="262626"/>
          <w:sz w:val="20"/>
          <w:szCs w:val="20"/>
        </w:rPr>
        <w:t xml:space="preserve">The GL account is defined as a primary cost element in Controlling, which requires a valid cost object on every posting; the user did not enter one, or the relevant cost center is not open for the posting period.</w:t>
      </w:r>
    </w:p>
    <w:p>
      <w:pPr>
        <w:spacing w:after="40"/>
        <w:ind w:left="120"/>
      </w:pPr>
      <w:r>
        <w:rPr>
          <w:b/>
          <w:bCs/>
          <w:color w:val="1F6631"/>
          <w:sz w:val="20"/>
          <w:szCs w:val="20"/>
        </w:rPr>
        <w:t xml:space="preserve">Resolution: </w:t>
      </w:r>
      <w:r>
        <w:rPr>
          <w:color w:val="262626"/>
          <w:sz w:val="20"/>
          <w:szCs w:val="20"/>
        </w:rPr>
        <w:t xml:space="preserve">Enter a valid cost center/internal order on the posting, or if the account should not require one, review whether it truly needs to be a cost element.</w:t>
      </w:r>
    </w:p>
    <w:p>
      <w:pPr>
        <w:spacing w:after="180"/>
        <w:ind w:left="120"/>
      </w:pPr>
      <w:r>
        <w:rPr>
          <w:b/>
          <w:bCs/>
          <w:i/>
          <w:iCs/>
          <w:color w:val="595959"/>
          <w:sz w:val="18"/>
          <w:szCs w:val="18"/>
        </w:rPr>
        <w:t xml:space="preserve">Relevant T-code(s): </w:t>
      </w:r>
      <w:r>
        <w:rPr>
          <w:i/>
          <w:iCs/>
          <w:color w:val="595959"/>
          <w:sz w:val="18"/>
          <w:szCs w:val="18"/>
        </w:rPr>
        <w:t xml:space="preserve">KA02, KS02</w:t>
      </w:r>
    </w:p>
    <w:p>
      <w:pPr>
        <w:shd w:fill="F2F2F2" w:color="auto" w:val="clear"/>
        <w:spacing w:after="60" w:before="200"/>
      </w:pPr>
      <w:r>
        <w:rPr>
          <w:b/>
          <w:bCs/>
          <w:color w:val="1F3864"/>
          <w:sz w:val="22"/>
          <w:szCs w:val="22"/>
        </w:rPr>
        <w:t xml:space="preserve">7.2 CO Document Not Generated for an FI Posting</w:t>
      </w:r>
    </w:p>
    <w:p>
      <w:pPr>
        <w:spacing w:after="40"/>
        <w:ind w:left="120"/>
      </w:pPr>
      <w:r>
        <w:rPr>
          <w:b/>
          <w:bCs/>
          <w:color w:val="9C2B2B"/>
          <w:sz w:val="20"/>
          <w:szCs w:val="20"/>
        </w:rPr>
        <w:t xml:space="preserve">Symptom: </w:t>
      </w:r>
      <w:r>
        <w:rPr>
          <w:color w:val="262626"/>
          <w:sz w:val="20"/>
          <w:szCs w:val="20"/>
        </w:rPr>
        <w:t xml:space="preserve">An FI document posts successfully, but the expected corresponding CO document (e.g., for cross-cost-center allocation) is missing.</w:t>
      </w:r>
    </w:p>
    <w:p>
      <w:pPr>
        <w:spacing w:after="40"/>
        <w:ind w:left="120"/>
      </w:pPr>
      <w:r>
        <w:rPr>
          <w:b/>
          <w:bCs/>
          <w:color w:val="595959"/>
          <w:sz w:val="20"/>
          <w:szCs w:val="20"/>
        </w:rPr>
        <w:t xml:space="preserve">Likely Cause: </w:t>
      </w:r>
      <w:r>
        <w:rPr>
          <w:color w:val="262626"/>
          <w:sz w:val="20"/>
          <w:szCs w:val="20"/>
        </w:rPr>
        <w:t xml:space="preserve">The reconciliation ledger/real-time integration between FI and CO is not active for the company code, or the posting did not touch a cost-relevant account.</w:t>
      </w:r>
    </w:p>
    <w:p>
      <w:pPr>
        <w:spacing w:after="40"/>
        <w:ind w:left="120"/>
      </w:pPr>
      <w:r>
        <w:rPr>
          <w:b/>
          <w:bCs/>
          <w:color w:val="1F6631"/>
          <w:sz w:val="20"/>
          <w:szCs w:val="20"/>
        </w:rPr>
        <w:t xml:space="preserve">Resolution: </w:t>
      </w:r>
      <w:r>
        <w:rPr>
          <w:color w:val="262626"/>
          <w:sz w:val="20"/>
          <w:szCs w:val="20"/>
        </w:rPr>
        <w:t xml:space="preserve">Verify the FI-CO real-time integration configuration is active for the company code and posting date, and confirm the account involved is flagged as cost-relevant.</w:t>
      </w:r>
    </w:p>
    <w:p>
      <w:pPr>
        <w:spacing w:after="180"/>
        <w:ind w:left="120"/>
      </w:pPr>
      <w:r>
        <w:rPr>
          <w:b/>
          <w:bCs/>
          <w:i/>
          <w:iCs/>
          <w:color w:val="595959"/>
          <w:sz w:val="18"/>
          <w:szCs w:val="18"/>
        </w:rPr>
        <w:t xml:space="preserve">Relevant T-code(s): </w:t>
      </w:r>
      <w:r>
        <w:rPr>
          <w:i/>
          <w:iCs/>
          <w:color w:val="595959"/>
          <w:sz w:val="18"/>
          <w:szCs w:val="18"/>
        </w:rPr>
        <w:t xml:space="preserve">KALC, OKKP / FAGL_COFI_CUST (S/4HANA integration)</w:t>
      </w:r>
    </w:p>
    <w:p>
      <w:pPr>
        <w:shd w:fill="F2F2F2" w:color="auto" w:val="clear"/>
        <w:spacing w:after="60" w:before="200"/>
      </w:pPr>
      <w:r>
        <w:rPr>
          <w:b/>
          <w:bCs/>
          <w:color w:val="1F3864"/>
          <w:sz w:val="22"/>
          <w:szCs w:val="22"/>
        </w:rPr>
        <w:t xml:space="preserve">7.3 Internal Order or WBS Settlement Errors</w:t>
      </w:r>
    </w:p>
    <w:p>
      <w:pPr>
        <w:spacing w:after="40"/>
        <w:ind w:left="120"/>
      </w:pPr>
      <w:r>
        <w:rPr>
          <w:b/>
          <w:bCs/>
          <w:color w:val="9C2B2B"/>
          <w:sz w:val="20"/>
          <w:szCs w:val="20"/>
        </w:rPr>
        <w:t xml:space="preserve">Symptom: </w:t>
      </w:r>
      <w:r>
        <w:rPr>
          <w:color w:val="262626"/>
          <w:sz w:val="20"/>
          <w:szCs w:val="20"/>
        </w:rPr>
        <w:t xml:space="preserve">The settlement run for an internal order or project fails, or leaves a balance instead of fully settling costs to the receiver.</w:t>
      </w:r>
    </w:p>
    <w:p>
      <w:pPr>
        <w:spacing w:after="40"/>
        <w:ind w:left="120"/>
      </w:pPr>
      <w:r>
        <w:rPr>
          <w:b/>
          <w:bCs/>
          <w:color w:val="595959"/>
          <w:sz w:val="20"/>
          <w:szCs w:val="20"/>
        </w:rPr>
        <w:t xml:space="preserve">Likely Cause: </w:t>
      </w:r>
      <w:r>
        <w:rPr>
          <w:color w:val="262626"/>
          <w:sz w:val="20"/>
          <w:szCs w:val="20"/>
        </w:rPr>
        <w:t xml:space="preserve">The settlement rule/receiver (cost center, GL account, or asset) is missing or incomplete, or the settlement profile does not allow the required receiver category.</w:t>
      </w:r>
    </w:p>
    <w:p>
      <w:pPr>
        <w:spacing w:after="40"/>
        <w:ind w:left="120"/>
      </w:pPr>
      <w:r>
        <w:rPr>
          <w:b/>
          <w:bCs/>
          <w:color w:val="1F6631"/>
          <w:sz w:val="20"/>
          <w:szCs w:val="20"/>
        </w:rPr>
        <w:t xml:space="preserve">Resolution: </w:t>
      </w:r>
      <w:r>
        <w:rPr>
          <w:color w:val="262626"/>
          <w:sz w:val="20"/>
          <w:szCs w:val="20"/>
        </w:rPr>
        <w:t xml:space="preserve">Maintain a complete settlement rule with valid receivers and percentages/amounts totaling 100%, and confirm the settlement profile permits the intended receiver type.</w:t>
      </w:r>
    </w:p>
    <w:p>
      <w:pPr>
        <w:spacing w:after="180"/>
        <w:ind w:left="120"/>
      </w:pPr>
      <w:r>
        <w:rPr>
          <w:b/>
          <w:bCs/>
          <w:i/>
          <w:iCs/>
          <w:color w:val="595959"/>
          <w:sz w:val="18"/>
          <w:szCs w:val="18"/>
        </w:rPr>
        <w:t xml:space="preserve">Relevant T-code(s): </w:t>
      </w:r>
      <w:r>
        <w:rPr>
          <w:i/>
          <w:iCs/>
          <w:color w:val="595959"/>
          <w:sz w:val="18"/>
          <w:szCs w:val="18"/>
        </w:rPr>
        <w:t xml:space="preserve">KO88, KO02</w:t>
      </w:r>
    </w:p>
    <w:p>
      <w:pPr>
        <w:shd w:fill="F2F2F2" w:color="auto" w:val="clear"/>
        <w:spacing w:after="60" w:before="200"/>
      </w:pPr>
      <w:r>
        <w:rPr>
          <w:b/>
          <w:bCs/>
          <w:color w:val="1F3864"/>
          <w:sz w:val="22"/>
          <w:szCs w:val="22"/>
        </w:rPr>
        <w:t xml:space="preserve">7.4 COPA Values Missing or Misallocated</w:t>
      </w:r>
    </w:p>
    <w:p>
      <w:pPr>
        <w:spacing w:after="40"/>
        <w:ind w:left="120"/>
      </w:pPr>
      <w:r>
        <w:rPr>
          <w:b/>
          <w:bCs/>
          <w:color w:val="9C2B2B"/>
          <w:sz w:val="20"/>
          <w:szCs w:val="20"/>
        </w:rPr>
        <w:t xml:space="preserve">Symptom: </w:t>
      </w:r>
      <w:r>
        <w:rPr>
          <w:color w:val="262626"/>
          <w:sz w:val="20"/>
          <w:szCs w:val="20"/>
        </w:rPr>
        <w:t xml:space="preserve">A Profitability Analysis (COPA) report shows missing revenue/cost values, or values landing against the wrong characteristic (e.g., wrong product or customer).</w:t>
      </w:r>
    </w:p>
    <w:p>
      <w:pPr>
        <w:spacing w:after="40"/>
        <w:ind w:left="120"/>
      </w:pPr>
      <w:r>
        <w:rPr>
          <w:b/>
          <w:bCs/>
          <w:color w:val="595959"/>
          <w:sz w:val="20"/>
          <w:szCs w:val="20"/>
        </w:rPr>
        <w:t xml:space="preserve">Likely Cause: </w:t>
      </w:r>
      <w:r>
        <w:rPr>
          <w:color w:val="262626"/>
          <w:sz w:val="20"/>
          <w:szCs w:val="20"/>
        </w:rPr>
        <w:t xml:space="preserve">The derivation rules used to populate COPA characteristics are incomplete, or a condition type in pricing is not mapped to a COPA value field.</w:t>
      </w:r>
    </w:p>
    <w:p>
      <w:pPr>
        <w:spacing w:after="40"/>
        <w:ind w:left="120"/>
      </w:pPr>
      <w:r>
        <w:rPr>
          <w:b/>
          <w:bCs/>
          <w:color w:val="1F6631"/>
          <w:sz w:val="20"/>
          <w:szCs w:val="20"/>
        </w:rPr>
        <w:t xml:space="preserve">Resolution: </w:t>
      </w:r>
      <w:r>
        <w:rPr>
          <w:color w:val="262626"/>
          <w:sz w:val="20"/>
          <w:szCs w:val="20"/>
        </w:rPr>
        <w:t xml:space="preserve">Review and correct the derivation rule sequence in COPA configuration, and confirm all relevant SD pricing condition types are mapped to COPA value fields.</w:t>
      </w:r>
    </w:p>
    <w:p>
      <w:pPr>
        <w:spacing w:after="180"/>
        <w:ind w:left="120"/>
      </w:pPr>
      <w:r>
        <w:rPr>
          <w:b/>
          <w:bCs/>
          <w:i/>
          <w:iCs/>
          <w:color w:val="595959"/>
          <w:sz w:val="18"/>
          <w:szCs w:val="18"/>
        </w:rPr>
        <w:t xml:space="preserve">Relevant T-code(s): </w:t>
      </w:r>
      <w:r>
        <w:rPr>
          <w:i/>
          <w:iCs/>
          <w:color w:val="595959"/>
          <w:sz w:val="18"/>
          <w:szCs w:val="18"/>
        </w:rPr>
        <w:t xml:space="preserve">KEDR, KE4I</w:t>
      </w:r>
    </w:p>
    <w:p>
      <w:pPr>
        <w:pStyle w:val="Heading1"/>
        <w:pBdr>
          <w:bottom w:val="single" w:color="B8860B" w:sz="8" w:space="4"/>
        </w:pBdr>
        <w:spacing w:after="160" w:before="360"/>
      </w:pPr>
      <w:r>
        <w:rPr>
          <w:b/>
          <w:bCs/>
          <w:color w:val="1F3864"/>
          <w:sz w:val="28"/>
          <w:szCs w:val="28"/>
        </w:rPr>
        <w:t xml:space="preserve">8. Common Integration Issues (FI–MM–SD)</w:t>
      </w:r>
    </w:p>
    <w:p>
      <w:pPr>
        <w:shd w:fill="F2F2F2" w:color="auto" w:val="clear"/>
        <w:spacing w:after="60" w:before="200"/>
      </w:pPr>
      <w:r>
        <w:rPr>
          <w:b/>
          <w:bCs/>
          <w:color w:val="1F3864"/>
          <w:sz w:val="22"/>
          <w:szCs w:val="22"/>
        </w:rPr>
        <w:t xml:space="preserve">8.1 GR/IR (Goods Receipt / Invoice Receipt) Account Imbalance</w:t>
      </w:r>
    </w:p>
    <w:p>
      <w:pPr>
        <w:spacing w:after="40"/>
        <w:ind w:left="120"/>
      </w:pPr>
      <w:r>
        <w:rPr>
          <w:b/>
          <w:bCs/>
          <w:color w:val="9C2B2B"/>
          <w:sz w:val="20"/>
          <w:szCs w:val="20"/>
        </w:rPr>
        <w:t xml:space="preserve">Symptom: </w:t>
      </w:r>
      <w:r>
        <w:rPr>
          <w:color w:val="262626"/>
          <w:sz w:val="20"/>
          <w:szCs w:val="20"/>
        </w:rPr>
        <w:t xml:space="preserve">The GR/IR clearing account carries a large, aging, unreconciled balance instead of clearing out as goods and invoices are matched.</w:t>
      </w:r>
    </w:p>
    <w:p>
      <w:pPr>
        <w:spacing w:after="40"/>
        <w:ind w:left="120"/>
      </w:pPr>
      <w:r>
        <w:rPr>
          <w:b/>
          <w:bCs/>
          <w:color w:val="595959"/>
          <w:sz w:val="20"/>
          <w:szCs w:val="20"/>
        </w:rPr>
        <w:t xml:space="preserve">Likely Cause: </w:t>
      </w:r>
      <w:r>
        <w:rPr>
          <w:color w:val="262626"/>
          <w:sz w:val="20"/>
          <w:szCs w:val="20"/>
        </w:rPr>
        <w:t xml:space="preserve">Goods were received but never invoiced (or vice versa), or the purchase order quantity/price does not match what was actually received or billed.</w:t>
      </w:r>
    </w:p>
    <w:p>
      <w:pPr>
        <w:spacing w:after="40"/>
        <w:ind w:left="120"/>
      </w:pPr>
      <w:r>
        <w:rPr>
          <w:b/>
          <w:bCs/>
          <w:color w:val="1F6631"/>
          <w:sz w:val="20"/>
          <w:szCs w:val="20"/>
        </w:rPr>
        <w:t xml:space="preserve">Resolution: </w:t>
      </w:r>
      <w:r>
        <w:rPr>
          <w:color w:val="262626"/>
          <w:sz w:val="20"/>
          <w:szCs w:val="20"/>
        </w:rPr>
        <w:t xml:space="preserve">Run the GR/IR regrouping and analysis report to identify open items, follow up with Procurement on missing invoices/receipts, and clear matched items or post accruals for genuine timing differences.</w:t>
      </w:r>
    </w:p>
    <w:p>
      <w:pPr>
        <w:spacing w:after="180"/>
        <w:ind w:left="120"/>
      </w:pPr>
      <w:r>
        <w:rPr>
          <w:b/>
          <w:bCs/>
          <w:i/>
          <w:iCs/>
          <w:color w:val="595959"/>
          <w:sz w:val="18"/>
          <w:szCs w:val="18"/>
        </w:rPr>
        <w:t xml:space="preserve">Relevant T-code(s): </w:t>
      </w:r>
      <w:r>
        <w:rPr>
          <w:i/>
          <w:iCs/>
          <w:color w:val="595959"/>
          <w:sz w:val="18"/>
          <w:szCs w:val="18"/>
        </w:rPr>
        <w:t xml:space="preserve">MR11, F.19</w:t>
      </w:r>
    </w:p>
    <w:p>
      <w:pPr>
        <w:shd w:fill="F2F2F2" w:color="auto" w:val="clear"/>
        <w:spacing w:after="60" w:before="200"/>
      </w:pPr>
      <w:r>
        <w:rPr>
          <w:b/>
          <w:bCs/>
          <w:color w:val="1F3864"/>
          <w:sz w:val="22"/>
          <w:szCs w:val="22"/>
        </w:rPr>
        <w:t xml:space="preserve">8.2 Billing Document Does Not Release to Accounting</w:t>
      </w:r>
    </w:p>
    <w:p>
      <w:pPr>
        <w:spacing w:after="40"/>
        <w:ind w:left="120"/>
      </w:pPr>
      <w:r>
        <w:rPr>
          <w:b/>
          <w:bCs/>
          <w:color w:val="9C2B2B"/>
          <w:sz w:val="20"/>
          <w:szCs w:val="20"/>
        </w:rPr>
        <w:t xml:space="preserve">Symptom: </w:t>
      </w:r>
      <w:r>
        <w:rPr>
          <w:color w:val="262626"/>
          <w:sz w:val="20"/>
          <w:szCs w:val="20"/>
        </w:rPr>
        <w:t xml:space="preserve">A completed SD billing document does not generate the expected FI revenue posting.</w:t>
      </w:r>
    </w:p>
    <w:p>
      <w:pPr>
        <w:spacing w:after="40"/>
        <w:ind w:left="120"/>
      </w:pPr>
      <w:r>
        <w:rPr>
          <w:b/>
          <w:bCs/>
          <w:color w:val="595959"/>
          <w:sz w:val="20"/>
          <w:szCs w:val="20"/>
        </w:rPr>
        <w:t xml:space="preserve">Likely Cause: </w:t>
      </w:r>
      <w:r>
        <w:rPr>
          <w:color w:val="262626"/>
          <w:sz w:val="20"/>
          <w:szCs w:val="20"/>
        </w:rPr>
        <w:t xml:space="preserve">Account determination (SD-FI) is missing a condition record for the relevant combination of chart of accounts, sales organization, and account key, or the document is blocked for release.</w:t>
      </w:r>
    </w:p>
    <w:p>
      <w:pPr>
        <w:spacing w:after="40"/>
        <w:ind w:left="120"/>
      </w:pPr>
      <w:r>
        <w:rPr>
          <w:b/>
          <w:bCs/>
          <w:color w:val="1F6631"/>
          <w:sz w:val="20"/>
          <w:szCs w:val="20"/>
        </w:rPr>
        <w:t xml:space="preserve">Resolution: </w:t>
      </w:r>
      <w:r>
        <w:rPr>
          <w:color w:val="262626"/>
          <w:sz w:val="20"/>
          <w:szCs w:val="20"/>
        </w:rPr>
        <w:t xml:space="preserve">Review the account determination analysis on the billing document to identify the missing condition record, complete the configuration, and reprocess the billing document.</w:t>
      </w:r>
    </w:p>
    <w:p>
      <w:pPr>
        <w:spacing w:after="180"/>
        <w:ind w:left="120"/>
      </w:pPr>
      <w:r>
        <w:rPr>
          <w:b/>
          <w:bCs/>
          <w:i/>
          <w:iCs/>
          <w:color w:val="595959"/>
          <w:sz w:val="18"/>
          <w:szCs w:val="18"/>
        </w:rPr>
        <w:t xml:space="preserve">Relevant T-code(s): </w:t>
      </w:r>
      <w:r>
        <w:rPr>
          <w:i/>
          <w:iCs/>
          <w:color w:val="595959"/>
          <w:sz w:val="18"/>
          <w:szCs w:val="18"/>
        </w:rPr>
        <w:t xml:space="preserve">VF02 (release to accounting), VKOA</w:t>
      </w:r>
    </w:p>
    <w:p>
      <w:pPr>
        <w:pStyle w:val="Heading1"/>
        <w:pBdr>
          <w:bottom w:val="single" w:color="B8860B" w:sz="8" w:space="4"/>
        </w:pBdr>
        <w:spacing w:after="160" w:before="360"/>
      </w:pPr>
      <w:r>
        <w:rPr>
          <w:b/>
          <w:bCs/>
          <w:color w:val="1F3864"/>
          <w:sz w:val="28"/>
          <w:szCs w:val="28"/>
        </w:rPr>
        <w:t xml:space="preserve">9. Diagnostic Tools and Transaction Codes</w:t>
      </w:r>
    </w:p>
    <w:p>
      <w:pPr>
        <w:spacing w:after="160" w:line="288"/>
        <w:jc w:val="both"/>
      </w:pPr>
      <w:r>
        <w:rPr>
          <w:color w:val="262626"/>
          <w:sz w:val="22"/>
          <w:szCs w:val="22"/>
        </w:rPr>
        <w:t xml:space="preserve">A small set of transactions covers most day-to-day diagnostic needs in FICO support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100"/>
              <w:left w:type="dxa" w:w="120"/>
              <w:bottom w:type="dxa" w:w="100"/>
              <w:right w:type="dxa" w:w="120"/>
            </w:tcMar>
            <w:vAlign w:val="center"/>
          </w:tcPr>
          <w:p>
            <w:pPr>
              <w:jc w:val="left"/>
            </w:pPr>
            <w:r>
              <w:rPr>
                <w:b/>
                <w:bCs/>
                <w:color w:val="FFFFFF"/>
                <w:sz w:val="20"/>
                <w:szCs w:val="20"/>
              </w:rPr>
              <w:t xml:space="preserve">T-code</w:t>
            </w:r>
          </w:p>
        </w:tc>
        <w:tc>
          <w:tcPr>
            <w:tcW w:type="dxa" w:w="6400"/>
            <w:shd w:fill="1F3864" w:color="auto" w:val="clear"/>
            <w:tcMar>
              <w:top w:type="dxa" w:w="100"/>
              <w:left w:type="dxa" w:w="120"/>
              <w:bottom w:type="dxa" w:w="100"/>
              <w:right w:type="dxa" w:w="120"/>
            </w:tcMar>
            <w:vAlign w:val="center"/>
          </w:tcPr>
          <w:p>
            <w:pPr>
              <w:jc w:val="left"/>
            </w:pPr>
            <w:r>
              <w:rPr>
                <w:b/>
                <w:bCs/>
                <w:color w:val="FFFFFF"/>
                <w:sz w:val="20"/>
                <w:szCs w:val="20"/>
              </w:rPr>
              <w:t xml:space="preserve">Purpose</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FB03</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Display a posted document — first stop to confirm what actually posted</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FBL1N / FBL3N / FBL5N</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Vendor / G/L / Customer line item display for reconciliation and research</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ST22</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Display ABAP short dumps — useful when a transaction fails with a runtime error rather than a business message</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SM13</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Review update terminations if a document appears posted on screen but did not actually save</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SM21</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System log — useful for background job or authorization-related failures</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SE16N / SE11</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Display table contents / structure to verify master or configuration data directly</w:t>
            </w:r>
          </w:p>
        </w:tc>
      </w:tr>
      <w:tr>
        <w:tc>
          <w:tcPr>
            <w:tcW w:type="dxa" w:w="2600"/>
            <w:shd w:fill="F2F2F2" w:color="auto" w:val="clear"/>
            <w:tcMar>
              <w:top w:type="dxa" w:w="100"/>
              <w:left w:type="dxa" w:w="120"/>
              <w:bottom w:type="dxa" w:w="100"/>
              <w:right w:type="dxa" w:w="120"/>
            </w:tcMar>
            <w:vAlign w:val="center"/>
          </w:tcPr>
          <w:p>
            <w:r>
              <w:rPr>
                <w:color w:val="262626"/>
                <w:sz w:val="20"/>
                <w:szCs w:val="20"/>
              </w:rPr>
              <w:t xml:space="preserve">OB52</w:t>
            </w:r>
          </w:p>
        </w:tc>
        <w:tc>
          <w:tcPr>
            <w:tcW w:type="dxa" w:w="6400"/>
            <w:shd w:fill="F2F2F2" w:color="auto" w:val="clear"/>
            <w:tcMar>
              <w:top w:type="dxa" w:w="100"/>
              <w:left w:type="dxa" w:w="120"/>
              <w:bottom w:type="dxa" w:w="100"/>
              <w:right w:type="dxa" w:w="120"/>
            </w:tcMar>
            <w:vAlign w:val="center"/>
          </w:tcPr>
          <w:p>
            <w:r>
              <w:rPr>
                <w:color w:val="262626"/>
                <w:sz w:val="20"/>
                <w:szCs w:val="20"/>
              </w:rPr>
              <w:t xml:space="preserve">Maintain open/close posting periods</w:t>
            </w:r>
          </w:p>
        </w:tc>
      </w:tr>
      <w:tr>
        <w:tc>
          <w:tcPr>
            <w:tcW w:type="dxa" w:w="2600"/>
            <w:shd w:fill="FFFFFF" w:color="auto" w:val="clear"/>
            <w:tcMar>
              <w:top w:type="dxa" w:w="100"/>
              <w:left w:type="dxa" w:w="120"/>
              <w:bottom w:type="dxa" w:w="100"/>
              <w:right w:type="dxa" w:w="120"/>
            </w:tcMar>
            <w:vAlign w:val="center"/>
          </w:tcPr>
          <w:p>
            <w:r>
              <w:rPr>
                <w:color w:val="262626"/>
                <w:sz w:val="20"/>
                <w:szCs w:val="20"/>
              </w:rPr>
              <w:t xml:space="preserve">SPRO</w:t>
            </w:r>
          </w:p>
        </w:tc>
        <w:tc>
          <w:tcPr>
            <w:tcW w:type="dxa" w:w="6400"/>
            <w:shd w:fill="FFFFFF" w:color="auto" w:val="clear"/>
            <w:tcMar>
              <w:top w:type="dxa" w:w="100"/>
              <w:left w:type="dxa" w:w="120"/>
              <w:bottom w:type="dxa" w:w="100"/>
              <w:right w:type="dxa" w:w="120"/>
            </w:tcMar>
            <w:vAlign w:val="center"/>
          </w:tcPr>
          <w:p>
            <w:r>
              <w:rPr>
                <w:color w:val="262626"/>
                <w:sz w:val="20"/>
                <w:szCs w:val="20"/>
              </w:rPr>
              <w:t xml:space="preserve">Access the IMG (Implementation Guide) to review or adjust configuration</w:t>
            </w:r>
          </w:p>
        </w:tc>
      </w:tr>
    </w:tbl>
    <w:p>
      <w:pPr>
        <w:spacing w:after="160" w:line="288"/>
        <w:jc w:val="both"/>
      </w:pPr>
      <w:r>
        <w:rPr>
          <w:color w:val="262626"/>
          <w:sz w:val="22"/>
          <w:szCs w:val="22"/>
        </w:rPr>
        <w:t xml:space="preserve">For errors that are not resolved through configuration or master data correction, the SAP Support Portal (SAP Notes and Knowledge Base Articles) should be searched using the exact message number/class — many issues are known program errors with an available patch or documented workaround.</w:t>
      </w:r>
    </w:p>
    <w:p>
      <w:pPr>
        <w:pStyle w:val="Heading1"/>
        <w:pBdr>
          <w:bottom w:val="single" w:color="B8860B" w:sz="8" w:space="4"/>
        </w:pBdr>
        <w:spacing w:after="160" w:before="360"/>
      </w:pPr>
      <w:r>
        <w:rPr>
          <w:b/>
          <w:bCs/>
          <w:color w:val="1F3864"/>
          <w:sz w:val="28"/>
          <w:szCs w:val="28"/>
        </w:rPr>
        <w:t xml:space="preserve">10. Summary Table: Issues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000"/>
      </w:tblGrid>
      <w:tr>
        <w:trPr>
          <w:tblHeader/>
        </w:trPr>
        <w:tc>
          <w:tcPr>
            <w:tcW w:type="dxa" w:w="1400"/>
            <w:shd w:fill="1F3864" w:color="auto" w:val="clear"/>
            <w:tcMar>
              <w:top w:type="dxa" w:w="100"/>
              <w:left w:type="dxa" w:w="120"/>
              <w:bottom w:type="dxa" w:w="100"/>
              <w:right w:type="dxa" w:w="120"/>
            </w:tcMar>
            <w:vAlign w:val="center"/>
          </w:tcPr>
          <w:p>
            <w:pPr>
              <w:jc w:val="left"/>
            </w:pPr>
            <w:r>
              <w:rPr>
                <w:b/>
                <w:bCs/>
                <w:color w:val="FFFFFF"/>
                <w:sz w:val="20"/>
                <w:szCs w:val="20"/>
              </w:rPr>
              <w:t xml:space="preserve">Area</w:t>
            </w:r>
          </w:p>
        </w:tc>
        <w:tc>
          <w:tcPr>
            <w:tcW w:type="dxa" w:w="3600"/>
            <w:shd w:fill="1F3864" w:color="auto" w:val="clear"/>
            <w:tcMar>
              <w:top w:type="dxa" w:w="100"/>
              <w:left w:type="dxa" w:w="120"/>
              <w:bottom w:type="dxa" w:w="100"/>
              <w:right w:type="dxa" w:w="120"/>
            </w:tcMar>
            <w:vAlign w:val="center"/>
          </w:tcPr>
          <w:p>
            <w:pPr>
              <w:jc w:val="left"/>
            </w:pPr>
            <w:r>
              <w:rPr>
                <w:b/>
                <w:bCs/>
                <w:color w:val="FFFFFF"/>
                <w:sz w:val="20"/>
                <w:szCs w:val="20"/>
              </w:rPr>
              <w:t xml:space="preserve">Issue</w:t>
            </w:r>
          </w:p>
        </w:tc>
        <w:tc>
          <w:tcPr>
            <w:tcW w:type="dxa" w:w="4000"/>
            <w:shd w:fill="1F3864" w:color="auto" w:val="clear"/>
            <w:tcMar>
              <w:top w:type="dxa" w:w="100"/>
              <w:left w:type="dxa" w:w="120"/>
              <w:bottom w:type="dxa" w:w="100"/>
              <w:right w:type="dxa" w:w="120"/>
            </w:tcMar>
            <w:vAlign w:val="center"/>
          </w:tcPr>
          <w:p>
            <w:pPr>
              <w:jc w:val="left"/>
            </w:pPr>
            <w:r>
              <w:rPr>
                <w:b/>
                <w:bCs/>
                <w:color w:val="FFFFFF"/>
                <w:sz w:val="20"/>
                <w:szCs w:val="20"/>
              </w:rPr>
              <w:t xml:space="preserve">Typical Root Cause</w:t>
            </w:r>
          </w:p>
        </w:tc>
      </w:tr>
      <w:tr>
        <w:tc>
          <w:tcPr>
            <w:tcW w:type="dxa" w:w="1400"/>
            <w:shd w:fill="F2F2F2" w:color="auto" w:val="clear"/>
            <w:tcMar>
              <w:top w:type="dxa" w:w="100"/>
              <w:left w:type="dxa" w:w="120"/>
              <w:bottom w:type="dxa" w:w="100"/>
              <w:right w:type="dxa" w:w="120"/>
            </w:tcMar>
            <w:vAlign w:val="center"/>
          </w:tcPr>
          <w:p>
            <w:r>
              <w:rPr>
                <w:color w:val="262626"/>
                <w:sz w:val="20"/>
                <w:szCs w:val="20"/>
              </w:rPr>
              <w:t xml:space="preserve">FI-GL</w:t>
            </w:r>
          </w:p>
        </w:tc>
        <w:tc>
          <w:tcPr>
            <w:tcW w:type="dxa" w:w="3600"/>
            <w:shd w:fill="F2F2F2" w:color="auto" w:val="clear"/>
            <w:tcMar>
              <w:top w:type="dxa" w:w="100"/>
              <w:left w:type="dxa" w:w="120"/>
              <w:bottom w:type="dxa" w:w="100"/>
              <w:right w:type="dxa" w:w="120"/>
            </w:tcMar>
            <w:vAlign w:val="center"/>
          </w:tcPr>
          <w:p>
            <w:r>
              <w:rPr>
                <w:color w:val="262626"/>
                <w:sz w:val="20"/>
                <w:szCs w:val="20"/>
              </w:rPr>
              <w:t xml:space="preserve">Posting period not open</w:t>
            </w:r>
          </w:p>
        </w:tc>
        <w:tc>
          <w:tcPr>
            <w:tcW w:type="dxa" w:w="4000"/>
            <w:shd w:fill="F2F2F2" w:color="auto" w:val="clear"/>
            <w:tcMar>
              <w:top w:type="dxa" w:w="100"/>
              <w:left w:type="dxa" w:w="120"/>
              <w:bottom w:type="dxa" w:w="100"/>
              <w:right w:type="dxa" w:w="120"/>
            </w:tcMar>
            <w:vAlign w:val="center"/>
          </w:tcPr>
          <w:p>
            <w:r>
              <w:rPr>
                <w:color w:val="262626"/>
                <w:sz w:val="20"/>
                <w:szCs w:val="20"/>
              </w:rPr>
              <w:t xml:space="preserve">Period not opened in OB52 for the account type</w:t>
            </w:r>
          </w:p>
        </w:tc>
      </w:tr>
      <w:tr>
        <w:tc>
          <w:tcPr>
            <w:tcW w:type="dxa" w:w="1400"/>
            <w:shd w:fill="FFFFFF" w:color="auto" w:val="clear"/>
            <w:tcMar>
              <w:top w:type="dxa" w:w="100"/>
              <w:left w:type="dxa" w:w="120"/>
              <w:bottom w:type="dxa" w:w="100"/>
              <w:right w:type="dxa" w:w="120"/>
            </w:tcMar>
            <w:vAlign w:val="center"/>
          </w:tcPr>
          <w:p>
            <w:r>
              <w:rPr>
                <w:color w:val="262626"/>
                <w:sz w:val="20"/>
                <w:szCs w:val="20"/>
              </w:rPr>
              <w:t xml:space="preserve">FI-GL</w:t>
            </w:r>
          </w:p>
        </w:tc>
        <w:tc>
          <w:tcPr>
            <w:tcW w:type="dxa" w:w="3600"/>
            <w:shd w:fill="FFFFFF" w:color="auto" w:val="clear"/>
            <w:tcMar>
              <w:top w:type="dxa" w:w="100"/>
              <w:left w:type="dxa" w:w="120"/>
              <w:bottom w:type="dxa" w:w="100"/>
              <w:right w:type="dxa" w:w="120"/>
            </w:tcMar>
            <w:vAlign w:val="center"/>
          </w:tcPr>
          <w:p>
            <w:r>
              <w:rPr>
                <w:color w:val="262626"/>
                <w:sz w:val="20"/>
                <w:szCs w:val="20"/>
              </w:rPr>
              <w:t xml:space="preserve">Document not balanced</w:t>
            </w:r>
          </w:p>
        </w:tc>
        <w:tc>
          <w:tcPr>
            <w:tcW w:type="dxa" w:w="4000"/>
            <w:shd w:fill="FFFFFF" w:color="auto" w:val="clear"/>
            <w:tcMar>
              <w:top w:type="dxa" w:w="100"/>
              <w:left w:type="dxa" w:w="120"/>
              <w:bottom w:type="dxa" w:w="100"/>
              <w:right w:type="dxa" w:w="120"/>
            </w:tcMar>
            <w:vAlign w:val="center"/>
          </w:tcPr>
          <w:p>
            <w:r>
              <w:rPr>
                <w:color w:val="262626"/>
                <w:sz w:val="20"/>
                <w:szCs w:val="20"/>
              </w:rPr>
              <w:t xml:space="preserve">Missing tax line, wrong exchange rate, or rounding gap</w:t>
            </w:r>
          </w:p>
        </w:tc>
      </w:tr>
      <w:tr>
        <w:tc>
          <w:tcPr>
            <w:tcW w:type="dxa" w:w="1400"/>
            <w:shd w:fill="F2F2F2" w:color="auto" w:val="clear"/>
            <w:tcMar>
              <w:top w:type="dxa" w:w="100"/>
              <w:left w:type="dxa" w:w="120"/>
              <w:bottom w:type="dxa" w:w="100"/>
              <w:right w:type="dxa" w:w="120"/>
            </w:tcMar>
            <w:vAlign w:val="center"/>
          </w:tcPr>
          <w:p>
            <w:r>
              <w:rPr>
                <w:color w:val="262626"/>
                <w:sz w:val="20"/>
                <w:szCs w:val="20"/>
              </w:rPr>
              <w:t xml:space="preserve">FI-AP</w:t>
            </w:r>
          </w:p>
        </w:tc>
        <w:tc>
          <w:tcPr>
            <w:tcW w:type="dxa" w:w="3600"/>
            <w:shd w:fill="F2F2F2" w:color="auto" w:val="clear"/>
            <w:tcMar>
              <w:top w:type="dxa" w:w="100"/>
              <w:left w:type="dxa" w:w="120"/>
              <w:bottom w:type="dxa" w:w="100"/>
              <w:right w:type="dxa" w:w="120"/>
            </w:tcMar>
            <w:vAlign w:val="center"/>
          </w:tcPr>
          <w:p>
            <w:r>
              <w:rPr>
                <w:color w:val="262626"/>
                <w:sz w:val="20"/>
                <w:szCs w:val="20"/>
              </w:rPr>
              <w:t xml:space="preserve">Vendor skipped in payment run</w:t>
            </w:r>
          </w:p>
        </w:tc>
        <w:tc>
          <w:tcPr>
            <w:tcW w:type="dxa" w:w="4000"/>
            <w:shd w:fill="F2F2F2" w:color="auto" w:val="clear"/>
            <w:tcMar>
              <w:top w:type="dxa" w:w="100"/>
              <w:left w:type="dxa" w:w="120"/>
              <w:bottom w:type="dxa" w:w="100"/>
              <w:right w:type="dxa" w:w="120"/>
            </w:tcMar>
            <w:vAlign w:val="center"/>
          </w:tcPr>
          <w:p>
            <w:r>
              <w:rPr>
                <w:color w:val="262626"/>
                <w:sz w:val="20"/>
                <w:szCs w:val="20"/>
              </w:rPr>
              <w:t xml:space="preserve">Missing bank details, payment method, or open block</w:t>
            </w:r>
          </w:p>
        </w:tc>
      </w:tr>
      <w:tr>
        <w:tc>
          <w:tcPr>
            <w:tcW w:type="dxa" w:w="1400"/>
            <w:shd w:fill="FFFFFF" w:color="auto" w:val="clear"/>
            <w:tcMar>
              <w:top w:type="dxa" w:w="100"/>
              <w:left w:type="dxa" w:w="120"/>
              <w:bottom w:type="dxa" w:w="100"/>
              <w:right w:type="dxa" w:w="120"/>
            </w:tcMar>
            <w:vAlign w:val="center"/>
          </w:tcPr>
          <w:p>
            <w:r>
              <w:rPr>
                <w:color w:val="262626"/>
                <w:sz w:val="20"/>
                <w:szCs w:val="20"/>
              </w:rPr>
              <w:t xml:space="preserve">FI-AP</w:t>
            </w:r>
          </w:p>
        </w:tc>
        <w:tc>
          <w:tcPr>
            <w:tcW w:type="dxa" w:w="3600"/>
            <w:shd w:fill="FFFFFF" w:color="auto" w:val="clear"/>
            <w:tcMar>
              <w:top w:type="dxa" w:w="100"/>
              <w:left w:type="dxa" w:w="120"/>
              <w:bottom w:type="dxa" w:w="100"/>
              <w:right w:type="dxa" w:w="120"/>
            </w:tcMar>
            <w:vAlign w:val="center"/>
          </w:tcPr>
          <w:p>
            <w:r>
              <w:rPr>
                <w:color w:val="262626"/>
                <w:sz w:val="20"/>
                <w:szCs w:val="20"/>
              </w:rPr>
              <w:t xml:space="preserve">Duplicate invoice posted</w:t>
            </w:r>
          </w:p>
        </w:tc>
        <w:tc>
          <w:tcPr>
            <w:tcW w:type="dxa" w:w="4000"/>
            <w:shd w:fill="FFFFFF" w:color="auto" w:val="clear"/>
            <w:tcMar>
              <w:top w:type="dxa" w:w="100"/>
              <w:left w:type="dxa" w:w="120"/>
              <w:bottom w:type="dxa" w:w="100"/>
              <w:right w:type="dxa" w:w="120"/>
            </w:tcMar>
            <w:vAlign w:val="center"/>
          </w:tcPr>
          <w:p>
            <w:r>
              <w:rPr>
                <w:color w:val="262626"/>
                <w:sz w:val="20"/>
                <w:szCs w:val="20"/>
              </w:rPr>
              <w:t xml:space="preserve">Duplicate invoice check not active</w:t>
            </w:r>
          </w:p>
        </w:tc>
      </w:tr>
      <w:tr>
        <w:tc>
          <w:tcPr>
            <w:tcW w:type="dxa" w:w="1400"/>
            <w:shd w:fill="F2F2F2" w:color="auto" w:val="clear"/>
            <w:tcMar>
              <w:top w:type="dxa" w:w="100"/>
              <w:left w:type="dxa" w:w="120"/>
              <w:bottom w:type="dxa" w:w="100"/>
              <w:right w:type="dxa" w:w="120"/>
            </w:tcMar>
            <w:vAlign w:val="center"/>
          </w:tcPr>
          <w:p>
            <w:r>
              <w:rPr>
                <w:color w:val="262626"/>
                <w:sz w:val="20"/>
                <w:szCs w:val="20"/>
              </w:rPr>
              <w:t xml:space="preserve">FI-AR</w:t>
            </w:r>
          </w:p>
        </w:tc>
        <w:tc>
          <w:tcPr>
            <w:tcW w:type="dxa" w:w="3600"/>
            <w:shd w:fill="F2F2F2" w:color="auto" w:val="clear"/>
            <w:tcMar>
              <w:top w:type="dxa" w:w="100"/>
              <w:left w:type="dxa" w:w="120"/>
              <w:bottom w:type="dxa" w:w="100"/>
              <w:right w:type="dxa" w:w="120"/>
            </w:tcMar>
            <w:vAlign w:val="center"/>
          </w:tcPr>
          <w:p>
            <w:r>
              <w:rPr>
                <w:color w:val="262626"/>
                <w:sz w:val="20"/>
                <w:szCs w:val="20"/>
              </w:rPr>
              <w:t xml:space="preserve">Order blocked by credit management</w:t>
            </w:r>
          </w:p>
        </w:tc>
        <w:tc>
          <w:tcPr>
            <w:tcW w:type="dxa" w:w="4000"/>
            <w:shd w:fill="F2F2F2" w:color="auto" w:val="clear"/>
            <w:tcMar>
              <w:top w:type="dxa" w:w="100"/>
              <w:left w:type="dxa" w:w="120"/>
              <w:bottom w:type="dxa" w:w="100"/>
              <w:right w:type="dxa" w:w="120"/>
            </w:tcMar>
            <w:vAlign w:val="center"/>
          </w:tcPr>
          <w:p>
            <w:r>
              <w:rPr>
                <w:color w:val="262626"/>
                <w:sz w:val="20"/>
                <w:szCs w:val="20"/>
              </w:rPr>
              <w:t xml:space="preserve">Customer over credit limit or outdated limit</w:t>
            </w:r>
          </w:p>
        </w:tc>
      </w:tr>
      <w:tr>
        <w:tc>
          <w:tcPr>
            <w:tcW w:type="dxa" w:w="1400"/>
            <w:shd w:fill="FFFFFF" w:color="auto" w:val="clear"/>
            <w:tcMar>
              <w:top w:type="dxa" w:w="100"/>
              <w:left w:type="dxa" w:w="120"/>
              <w:bottom w:type="dxa" w:w="100"/>
              <w:right w:type="dxa" w:w="120"/>
            </w:tcMar>
            <w:vAlign w:val="center"/>
          </w:tcPr>
          <w:p>
            <w:r>
              <w:rPr>
                <w:color w:val="262626"/>
                <w:sz w:val="20"/>
                <w:szCs w:val="20"/>
              </w:rPr>
              <w:t xml:space="preserve">FI-AR</w:t>
            </w:r>
          </w:p>
        </w:tc>
        <w:tc>
          <w:tcPr>
            <w:tcW w:type="dxa" w:w="3600"/>
            <w:shd w:fill="FFFFFF" w:color="auto" w:val="clear"/>
            <w:tcMar>
              <w:top w:type="dxa" w:w="100"/>
              <w:left w:type="dxa" w:w="120"/>
              <w:bottom w:type="dxa" w:w="100"/>
              <w:right w:type="dxa" w:w="120"/>
            </w:tcMar>
            <w:vAlign w:val="center"/>
          </w:tcPr>
          <w:p>
            <w:r>
              <w:rPr>
                <w:color w:val="262626"/>
                <w:sz w:val="20"/>
                <w:szCs w:val="20"/>
              </w:rPr>
              <w:t xml:space="preserve">Dunning notice not generated</w:t>
            </w:r>
          </w:p>
        </w:tc>
        <w:tc>
          <w:tcPr>
            <w:tcW w:type="dxa" w:w="4000"/>
            <w:shd w:fill="FFFFFF" w:color="auto" w:val="clear"/>
            <w:tcMar>
              <w:top w:type="dxa" w:w="100"/>
              <w:left w:type="dxa" w:w="120"/>
              <w:bottom w:type="dxa" w:w="100"/>
              <w:right w:type="dxa" w:w="120"/>
            </w:tcMar>
            <w:vAlign w:val="center"/>
          </w:tcPr>
          <w:p>
            <w:r>
              <w:rPr>
                <w:color w:val="262626"/>
                <w:sz w:val="20"/>
                <w:szCs w:val="20"/>
              </w:rPr>
              <w:t xml:space="preserve">Missing dunning procedure or item-level dunning block</w:t>
            </w:r>
          </w:p>
        </w:tc>
      </w:tr>
      <w:tr>
        <w:tc>
          <w:tcPr>
            <w:tcW w:type="dxa" w:w="1400"/>
            <w:shd w:fill="F2F2F2" w:color="auto" w:val="clear"/>
            <w:tcMar>
              <w:top w:type="dxa" w:w="100"/>
              <w:left w:type="dxa" w:w="120"/>
              <w:bottom w:type="dxa" w:w="100"/>
              <w:right w:type="dxa" w:w="120"/>
            </w:tcMar>
            <w:vAlign w:val="center"/>
          </w:tcPr>
          <w:p>
            <w:r>
              <w:rPr>
                <w:color w:val="262626"/>
                <w:sz w:val="20"/>
                <w:szCs w:val="20"/>
              </w:rPr>
              <w:t xml:space="preserve">FI-AA</w:t>
            </w:r>
          </w:p>
        </w:tc>
        <w:tc>
          <w:tcPr>
            <w:tcW w:type="dxa" w:w="3600"/>
            <w:shd w:fill="F2F2F2" w:color="auto" w:val="clear"/>
            <w:tcMar>
              <w:top w:type="dxa" w:w="100"/>
              <w:left w:type="dxa" w:w="120"/>
              <w:bottom w:type="dxa" w:w="100"/>
              <w:right w:type="dxa" w:w="120"/>
            </w:tcMar>
            <w:vAlign w:val="center"/>
          </w:tcPr>
          <w:p>
            <w:r>
              <w:rPr>
                <w:color w:val="262626"/>
                <w:sz w:val="20"/>
                <w:szCs w:val="20"/>
              </w:rPr>
              <w:t xml:space="preserve">Depreciation not posted</w:t>
            </w:r>
          </w:p>
        </w:tc>
        <w:tc>
          <w:tcPr>
            <w:tcW w:type="dxa" w:w="4000"/>
            <w:shd w:fill="F2F2F2" w:color="auto" w:val="clear"/>
            <w:tcMar>
              <w:top w:type="dxa" w:w="100"/>
              <w:left w:type="dxa" w:w="120"/>
              <w:bottom w:type="dxa" w:w="100"/>
              <w:right w:type="dxa" w:w="120"/>
            </w:tcMar>
            <w:vAlign w:val="center"/>
          </w:tcPr>
          <w:p>
            <w:r>
              <w:rPr>
                <w:color w:val="262626"/>
                <w:sz w:val="20"/>
                <w:szCs w:val="20"/>
              </w:rPr>
              <w:t xml:space="preserve">Missing depreciation key/useful life on asset master</w:t>
            </w:r>
          </w:p>
        </w:tc>
      </w:tr>
      <w:tr>
        <w:tc>
          <w:tcPr>
            <w:tcW w:type="dxa" w:w="1400"/>
            <w:shd w:fill="FFFFFF" w:color="auto" w:val="clear"/>
            <w:tcMar>
              <w:top w:type="dxa" w:w="100"/>
              <w:left w:type="dxa" w:w="120"/>
              <w:bottom w:type="dxa" w:w="100"/>
              <w:right w:type="dxa" w:w="120"/>
            </w:tcMar>
            <w:vAlign w:val="center"/>
          </w:tcPr>
          <w:p>
            <w:r>
              <w:rPr>
                <w:color w:val="262626"/>
                <w:sz w:val="20"/>
                <w:szCs w:val="20"/>
              </w:rPr>
              <w:t xml:space="preserve">CO</w:t>
            </w:r>
          </w:p>
        </w:tc>
        <w:tc>
          <w:tcPr>
            <w:tcW w:type="dxa" w:w="3600"/>
            <w:shd w:fill="FFFFFF" w:color="auto" w:val="clear"/>
            <w:tcMar>
              <w:top w:type="dxa" w:w="100"/>
              <w:left w:type="dxa" w:w="120"/>
              <w:bottom w:type="dxa" w:w="100"/>
              <w:right w:type="dxa" w:w="120"/>
            </w:tcMar>
            <w:vAlign w:val="center"/>
          </w:tcPr>
          <w:p>
            <w:r>
              <w:rPr>
                <w:color w:val="262626"/>
                <w:sz w:val="20"/>
                <w:szCs w:val="20"/>
              </w:rPr>
              <w:t xml:space="preserve">Posting rejected — cost object required</w:t>
            </w:r>
          </w:p>
        </w:tc>
        <w:tc>
          <w:tcPr>
            <w:tcW w:type="dxa" w:w="4000"/>
            <w:shd w:fill="FFFFFF" w:color="auto" w:val="clear"/>
            <w:tcMar>
              <w:top w:type="dxa" w:w="100"/>
              <w:left w:type="dxa" w:w="120"/>
              <w:bottom w:type="dxa" w:w="100"/>
              <w:right w:type="dxa" w:w="120"/>
            </w:tcMar>
            <w:vAlign w:val="center"/>
          </w:tcPr>
          <w:p>
            <w:r>
              <w:rPr>
                <w:color w:val="262626"/>
                <w:sz w:val="20"/>
                <w:szCs w:val="20"/>
              </w:rPr>
              <w:t xml:space="preserve">GL account is a primary cost element needing a cost center/order</w:t>
            </w:r>
          </w:p>
        </w:tc>
      </w:tr>
      <w:tr>
        <w:tc>
          <w:tcPr>
            <w:tcW w:type="dxa" w:w="1400"/>
            <w:shd w:fill="F2F2F2" w:color="auto" w:val="clear"/>
            <w:tcMar>
              <w:top w:type="dxa" w:w="100"/>
              <w:left w:type="dxa" w:w="120"/>
              <w:bottom w:type="dxa" w:w="100"/>
              <w:right w:type="dxa" w:w="120"/>
            </w:tcMar>
            <w:vAlign w:val="center"/>
          </w:tcPr>
          <w:p>
            <w:r>
              <w:rPr>
                <w:color w:val="262626"/>
                <w:sz w:val="20"/>
                <w:szCs w:val="20"/>
              </w:rPr>
              <w:t xml:space="preserve">CO</w:t>
            </w:r>
          </w:p>
        </w:tc>
        <w:tc>
          <w:tcPr>
            <w:tcW w:type="dxa" w:w="3600"/>
            <w:shd w:fill="F2F2F2" w:color="auto" w:val="clear"/>
            <w:tcMar>
              <w:top w:type="dxa" w:w="100"/>
              <w:left w:type="dxa" w:w="120"/>
              <w:bottom w:type="dxa" w:w="100"/>
              <w:right w:type="dxa" w:w="120"/>
            </w:tcMar>
            <w:vAlign w:val="center"/>
          </w:tcPr>
          <w:p>
            <w:r>
              <w:rPr>
                <w:color w:val="262626"/>
                <w:sz w:val="20"/>
                <w:szCs w:val="20"/>
              </w:rPr>
              <w:t xml:space="preserve">COPA values missing/misallocated</w:t>
            </w:r>
          </w:p>
        </w:tc>
        <w:tc>
          <w:tcPr>
            <w:tcW w:type="dxa" w:w="4000"/>
            <w:shd w:fill="F2F2F2" w:color="auto" w:val="clear"/>
            <w:tcMar>
              <w:top w:type="dxa" w:w="100"/>
              <w:left w:type="dxa" w:w="120"/>
              <w:bottom w:type="dxa" w:w="100"/>
              <w:right w:type="dxa" w:w="120"/>
            </w:tcMar>
            <w:vAlign w:val="center"/>
          </w:tcPr>
          <w:p>
            <w:r>
              <w:rPr>
                <w:color w:val="262626"/>
                <w:sz w:val="20"/>
                <w:szCs w:val="20"/>
              </w:rPr>
              <w:t xml:space="preserve">Incomplete derivation rules or unmapped pricing condition</w:t>
            </w:r>
          </w:p>
        </w:tc>
      </w:tr>
      <w:tr>
        <w:tc>
          <w:tcPr>
            <w:tcW w:type="dxa" w:w="1400"/>
            <w:shd w:fill="FFFFFF" w:color="auto" w:val="clear"/>
            <w:tcMar>
              <w:top w:type="dxa" w:w="100"/>
              <w:left w:type="dxa" w:w="120"/>
              <w:bottom w:type="dxa" w:w="100"/>
              <w:right w:type="dxa" w:w="120"/>
            </w:tcMar>
            <w:vAlign w:val="center"/>
          </w:tcPr>
          <w:p>
            <w:r>
              <w:rPr>
                <w:color w:val="262626"/>
                <w:sz w:val="20"/>
                <w:szCs w:val="20"/>
              </w:rPr>
              <w:t xml:space="preserve">Integration</w:t>
            </w:r>
          </w:p>
        </w:tc>
        <w:tc>
          <w:tcPr>
            <w:tcW w:type="dxa" w:w="3600"/>
            <w:shd w:fill="FFFFFF" w:color="auto" w:val="clear"/>
            <w:tcMar>
              <w:top w:type="dxa" w:w="100"/>
              <w:left w:type="dxa" w:w="120"/>
              <w:bottom w:type="dxa" w:w="100"/>
              <w:right w:type="dxa" w:w="120"/>
            </w:tcMar>
            <w:vAlign w:val="center"/>
          </w:tcPr>
          <w:p>
            <w:r>
              <w:rPr>
                <w:color w:val="262626"/>
                <w:sz w:val="20"/>
                <w:szCs w:val="20"/>
              </w:rPr>
              <w:t xml:space="preserve">GR/IR balance not clearing</w:t>
            </w:r>
          </w:p>
        </w:tc>
        <w:tc>
          <w:tcPr>
            <w:tcW w:type="dxa" w:w="4000"/>
            <w:shd w:fill="FFFFFF" w:color="auto" w:val="clear"/>
            <w:tcMar>
              <w:top w:type="dxa" w:w="100"/>
              <w:left w:type="dxa" w:w="120"/>
              <w:bottom w:type="dxa" w:w="100"/>
              <w:right w:type="dxa" w:w="120"/>
            </w:tcMar>
            <w:vAlign w:val="center"/>
          </w:tcPr>
          <w:p>
            <w:r>
              <w:rPr>
                <w:color w:val="262626"/>
                <w:sz w:val="20"/>
                <w:szCs w:val="20"/>
              </w:rPr>
              <w:t xml:space="preserve">Unmatched goods receipts and invoice receipts</w:t>
            </w:r>
          </w:p>
        </w:tc>
      </w:tr>
    </w:tbl>
    <w:p>
      <w:pPr>
        <w:pStyle w:val="Heading1"/>
        <w:pBdr>
          <w:bottom w:val="single" w:color="B8860B" w:sz="8" w:space="4"/>
        </w:pBdr>
        <w:spacing w:after="160" w:before="360"/>
      </w:pPr>
      <w:r>
        <w:rPr>
          <w:b/>
          <w:bCs/>
          <w:color w:val="1F3864"/>
          <w:sz w:val="28"/>
          <w:szCs w:val="28"/>
        </w:rPr>
        <w:t xml:space="preserve">11. Best Practices to Prevent Recurring Issues</w:t>
      </w:r>
    </w:p>
    <w:p>
      <w:pPr>
        <w:pStyle w:val="ListParagraph"/>
        <w:numPr>
          <w:ilvl w:val="0"/>
          <w:numId w:val="2"/>
        </w:numPr>
        <w:spacing w:after="90" w:line="276"/>
      </w:pPr>
      <w:r>
        <w:rPr>
          <w:color w:val="262626"/>
          <w:sz w:val="22"/>
          <w:szCs w:val="22"/>
        </w:rPr>
        <w:t xml:space="preserve">Maintain a period-close checklist that opens/closes posting periods deliberately rather than leaving all periods open indefinitely.</w:t>
      </w:r>
    </w:p>
    <w:p>
      <w:pPr>
        <w:pStyle w:val="ListParagraph"/>
        <w:numPr>
          <w:ilvl w:val="0"/>
          <w:numId w:val="2"/>
        </w:numPr>
        <w:spacing w:after="90" w:line="276"/>
      </w:pPr>
      <w:r>
        <w:rPr>
          <w:color w:val="262626"/>
          <w:sz w:val="22"/>
          <w:szCs w:val="22"/>
        </w:rPr>
        <w:t xml:space="preserve">Run duplicate invoice and GR/IR regrouping checks proactively on a monthly cadence rather than only when a balance looks wrong.</w:t>
      </w:r>
    </w:p>
    <w:p>
      <w:pPr>
        <w:pStyle w:val="ListParagraph"/>
        <w:numPr>
          <w:ilvl w:val="0"/>
          <w:numId w:val="2"/>
        </w:numPr>
        <w:spacing w:after="90" w:line="276"/>
      </w:pPr>
      <w:r>
        <w:rPr>
          <w:color w:val="262626"/>
          <w:sz w:val="22"/>
          <w:szCs w:val="22"/>
        </w:rPr>
        <w:t xml:space="preserve">Keep vendor, customer, and asset master data governed by a clear ownership and review process, since a large share of issues trace back to incomplete master records.</w:t>
      </w:r>
    </w:p>
    <w:p>
      <w:pPr>
        <w:pStyle w:val="ListParagraph"/>
        <w:numPr>
          <w:ilvl w:val="0"/>
          <w:numId w:val="2"/>
        </w:numPr>
        <w:spacing w:after="90" w:line="276"/>
      </w:pPr>
      <w:r>
        <w:rPr>
          <w:color w:val="262626"/>
          <w:sz w:val="22"/>
          <w:szCs w:val="22"/>
        </w:rPr>
        <w:t xml:space="preserve">Document configuration decisions (why a block, tolerance, or derivation rule exists) so support staff do not remove legitimate controls while troubleshooting.</w:t>
      </w:r>
    </w:p>
    <w:p>
      <w:pPr>
        <w:pStyle w:val="ListParagraph"/>
        <w:numPr>
          <w:ilvl w:val="0"/>
          <w:numId w:val="2"/>
        </w:numPr>
        <w:spacing w:after="90" w:line="276"/>
      </w:pPr>
      <w:r>
        <w:rPr>
          <w:color w:val="262626"/>
          <w:sz w:val="22"/>
          <w:szCs w:val="22"/>
        </w:rPr>
        <w:t xml:space="preserve">Test configuration and master data changes in a sandbox/quality client before applying them in production.</w:t>
      </w:r>
    </w:p>
    <w:p>
      <w:pPr>
        <w:pStyle w:val="ListParagraph"/>
        <w:numPr>
          <w:ilvl w:val="0"/>
          <w:numId w:val="2"/>
        </w:numPr>
        <w:spacing w:after="90" w:line="276"/>
      </w:pPr>
      <w:r>
        <w:rPr>
          <w:color w:val="262626"/>
          <w:sz w:val="22"/>
          <w:szCs w:val="22"/>
        </w:rPr>
        <w:t xml:space="preserve">Build a short internal knowledge base of recurring error messages and their resolutions specific to the organization's configuration, rather than re-researching the same issue repeatedly.</w:t>
      </w:r>
    </w:p>
    <w:p>
      <w:pPr>
        <w:pStyle w:val="Heading1"/>
        <w:pBdr>
          <w:bottom w:val="single" w:color="B8860B" w:sz="8" w:space="4"/>
        </w:pBdr>
        <w:spacing w:after="160" w:before="360"/>
      </w:pPr>
      <w:r>
        <w:rPr>
          <w:b/>
          <w:bCs/>
          <w:color w:val="1F3864"/>
          <w:sz w:val="28"/>
          <w:szCs w:val="28"/>
        </w:rPr>
        <w:t xml:space="preserve">12. Conclusion</w:t>
      </w:r>
    </w:p>
    <w:p>
      <w:pPr>
        <w:spacing w:after="160" w:line="288"/>
        <w:jc w:val="both"/>
      </w:pPr>
      <w:r>
        <w:rPr>
          <w:color w:val="262626"/>
          <w:sz w:val="22"/>
          <w:szCs w:val="22"/>
        </w:rPr>
        <w:t xml:space="preserve">The majority of SAP FICO issues fall into a handful of recurring patterns: closed posting periods, incomplete master data, missing or misconfigured account assignments, and breakdowns at the integration points with MM and SD. A disciplined, repeatable troubleshooting approach — capture the exact error, check master data, check configuration, check integration, and consult SAP Notes when needed — resolves the great majority of cases quickly and consistently. Building familiarity with the diagnostic transactions and common issue patterns covered in this document is one of the most practical skills an SAP FICO consultant can develop, since it directly determines how quickly the business's day-to-day financial processes can be kept running.</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SAP FICO Troubleshooting</w:t>
    </w:r>
    <w:r>
      <w:rPr>
        <w:color w:val="595959"/>
        <w:sz w:val="16"/>
        <w:szCs w:val="16"/>
      </w:rPr>
      <w:t xml:space="preserve">	Week 5 Internship Task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2026-09-10T10:35:09.417Z</dcterms:created>
  <dcterms:modified xsi:type="dcterms:W3CDTF">2026-09-10T10:35:09.417Z</dcterms:modified>
</cp:coreProperties>
</file>

<file path=docProps/custom.xml><?xml version="1.0" encoding="utf-8"?>
<Properties xmlns="http://schemas.openxmlformats.org/officeDocument/2006/custom-properties" xmlns:vt="http://schemas.openxmlformats.org/officeDocument/2006/docPropsVTypes"/>
</file>