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95959"/>
          <w:sz w:val="22"/>
          <w:szCs w:val="22"/>
        </w:rPr>
        <w:t xml:space="preserve">SAP FICO INTERNSHIP</w:t>
      </w:r>
    </w:p>
    <w:p>
      <w:pPr>
        <w:spacing w:after="120" w:before="120"/>
        <w:jc w:val="center"/>
      </w:pPr>
      <w:r>
        <w:rPr>
          <w:b/>
          <w:bCs/>
          <w:color w:val="595959"/>
          <w:sz w:val="22"/>
          <w:szCs w:val="22"/>
        </w:rPr>
        <w:t xml:space="preserve">Research Report</w:t>
      </w:r>
    </w:p>
    <w:p>
      <w:pPr>
        <w:spacing w:after="200" w:before="400"/>
        <w:jc w:val="center"/>
      </w:pPr>
      <w:r>
        <w:rPr>
          <w:b/>
          <w:bCs/>
          <w:color w:val="1F4E79"/>
          <w:sz w:val="52"/>
          <w:szCs w:val="52"/>
        </w:rPr>
        <w:t xml:space="preserve">The Future of SAP FICO</w:t>
      </w:r>
    </w:p>
    <w:p>
      <w:pPr>
        <w:spacing w:after="600"/>
        <w:jc w:val="center"/>
      </w:pPr>
      <w:r>
        <w:rPr>
          <w:i/>
          <w:iCs/>
          <w:color w:val="595959"/>
          <w:sz w:val="26"/>
          <w:szCs w:val="26"/>
        </w:rPr>
        <w:t xml:space="preserve">Evolution, Emerging Trends, and Business Impact</w:t>
      </w:r>
    </w:p>
    <w:p>
      <w:pPr>
        <w:spacing w:before="200"/>
        <w:jc w:val="center"/>
      </w:pPr>
      <w:r>
        <w:rPr>
          <w:sz w:val="22"/>
          <w:szCs w:val="22"/>
        </w:rPr>
        <w:t xml:space="preserve">Prepared as part of a 6-Week SAP FICO Internship Programme</w:t>
      </w:r>
    </w:p>
    <w:p>
      <w:pPr>
        <w:spacing w:before="100"/>
        <w:jc w:val="center"/>
      </w:pPr>
      <w:r>
        <w:rPr>
          <w:i/>
          <w:iCs/>
          <w:sz w:val="22"/>
          <w:szCs w:val="22"/>
        </w:rPr>
        <w:t xml:space="preserve">Perspective compiled with reference to 20 years of SAP FICO implementation, upgrade, and advisory experience</w:t>
      </w:r>
    </w:p>
    <w:p>
      <w:pPr>
        <w:spacing w:before="600"/>
        <w:jc w:val="center"/>
      </w:pPr>
      <w:r>
        <w:rPr>
          <w:color w:val="595959"/>
          <w:sz w:val="22"/>
          <w:szCs w:val="22"/>
        </w:rPr>
        <w:t xml:space="preserve">September 2026</w:t>
      </w:r>
    </w:p>
    <w:p>
      <w:r>
        <w:br w:type="page"/>
      </w:r>
    </w:p>
    <w:p>
      <w:pPr>
        <w:pStyle w:val="Heading1"/>
        <w:pBdr>
          <w:bottom w:val="single" w:color="1F4E79" w:sz="6" w:space="4"/>
        </w:pBdr>
        <w:spacing w:after="160" w:before="360"/>
      </w:pPr>
      <w:r>
        <w:rPr>
          <w:b/>
          <w:bCs/>
          <w:color w:val="1F4E79"/>
          <w:sz w:val="30"/>
          <w:szCs w:val="30"/>
        </w:rPr>
        <w:t xml:space="preserve">Objective of This Report</w:t>
      </w:r>
    </w:p>
    <w:p>
      <w:pPr>
        <w:spacing w:after="160" w:line="300"/>
        <w:jc w:val="both"/>
      </w:pPr>
      <w:r>
        <w:rPr>
          <w:sz w:val="22"/>
          <w:szCs w:val="22"/>
        </w:rPr>
        <w:t xml:space="preserve">This report fulfils the internship task of researching and documenting the future outlook of SAP FICO (Financial Accounting and Controlling). The purpose is threefold: to understand how the module is evolving in the context of SAP's broader S/4HANA and cloud strategy, to assess the potential impact of that evolution on businesses, and to record independent insights drawn from an experienced practitioner's perspective. The report is organised around SAP's current architectural direction, the rise of embedded AI, the shift to cloud-based delivery models, and the resulting change in what is expected of a SAP FICO professional.</w:t>
      </w:r>
    </w:p>
    <w:p>
      <w:pPr>
        <w:pStyle w:val="Heading1"/>
        <w:pBdr>
          <w:bottom w:val="single" w:color="1F4E79" w:sz="6" w:space="4"/>
        </w:pBdr>
        <w:spacing w:after="160" w:before="360"/>
      </w:pPr>
      <w:r>
        <w:rPr>
          <w:b/>
          <w:bCs/>
          <w:color w:val="1F4E79"/>
          <w:sz w:val="30"/>
          <w:szCs w:val="30"/>
        </w:rPr>
        <w:t xml:space="preserve">Executive Summary</w:t>
      </w:r>
    </w:p>
    <w:p>
      <w:pPr>
        <w:spacing w:after="160" w:line="300"/>
        <w:jc w:val="both"/>
      </w:pPr>
      <w:r>
        <w:rPr>
          <w:sz w:val="22"/>
          <w:szCs w:val="22"/>
        </w:rPr>
        <w:t xml:space="preserve">SAP FICO is not being replaced — it is being re-platformed. The underlying discipline of financial accounting and management controlling remains unchanged, but the technology carrying it has shifted decisively toward SAP S/4HANA, the Universal Journal (ACDOCA), cloud-based delivery through RISE and GROW with SAP, and embedded artificial intelligence delivered through SAP's Joule copilot and its growing family of autonomous agents. With SAP's end of mainstream support for ECC 6.0 approaching in 2027, migration activity is at its peak, and organisations are treating the move to S/4HANA less as a technical upgrade and more as a finance transformation programme. For FICO professionals — and for interns entering the field today — this means the value of the role is shifting from transaction-code configuration toward process design, data governance, and the ability to work alongside AI rather than around it.</w:t>
      </w:r>
    </w:p>
    <w:p>
      <w:pPr>
        <w:pStyle w:val="Heading1"/>
        <w:pBdr>
          <w:bottom w:val="single" w:color="1F4E79" w:sz="6" w:space="4"/>
        </w:pBdr>
        <w:spacing w:after="160" w:before="360"/>
      </w:pPr>
      <w:r>
        <w:rPr>
          <w:b/>
          <w:bCs/>
          <w:color w:val="1F4E79"/>
          <w:sz w:val="30"/>
          <w:szCs w:val="30"/>
        </w:rPr>
        <w:t xml:space="preserve">1. Where SAP FICO Stands Today</w:t>
      </w:r>
    </w:p>
    <w:p>
      <w:pPr>
        <w:spacing w:after="160" w:line="300"/>
        <w:jc w:val="both"/>
      </w:pPr>
      <w:r>
        <w:rPr>
          <w:sz w:val="22"/>
          <w:szCs w:val="22"/>
        </w:rPr>
        <w:t xml:space="preserve">Before looking ahead, it is worth being precise about the baseline. "Classic" SAP FICO — as configured on SAP ECC 6.0 — separates Financial Accounting (FI) sub-ledgers from Controlling (CO) cost objects, with reconciliation performed through period-end jobs. Most ECC systems are now well past their prime, and SAP has fixed 2027 as the end of standard mainstream maintenance for ECC 6.0, a deadline that is directly accelerating S/4HANA adoption across every industry.</w:t>
      </w:r>
    </w:p>
    <w:p>
      <w:pPr>
        <w:spacing w:after="160" w:line="300"/>
        <w:jc w:val="both"/>
      </w:pPr>
      <w:r>
        <w:rPr>
          <w:sz w:val="22"/>
          <w:szCs w:val="22"/>
        </w:rPr>
        <w:t xml:space="preserve">The research consulted for this report consistently shows migration volume as the dominant driver of FICO-related hiring and project activity in 2026. Consulting and training sources describe a sustained wave of ECC-to-S/4HANA transitions creating ongoing demand for consultants who can manage data migration, reconfiguration, and go-live support.</w:t>
      </w:r>
    </w:p>
    <w:p>
      <w:pPr>
        <w:pStyle w:val="Heading2"/>
        <w:spacing w:after="120" w:before="260"/>
      </w:pPr>
      <w:r>
        <w:rPr>
          <w:b/>
          <w:bCs/>
          <w:color w:val="1F4E79"/>
          <w:sz w:val="24"/>
          <w:szCs w:val="24"/>
        </w:rPr>
        <w:t xml:space="preserve">1.1 The Universal Journal — the real architectural shift</w:t>
      </w:r>
    </w:p>
    <w:p>
      <w:pPr>
        <w:spacing w:after="160" w:line="300"/>
        <w:jc w:val="both"/>
      </w:pPr>
      <w:r>
        <w:rPr>
          <w:sz w:val="22"/>
          <w:szCs w:val="22"/>
        </w:rPr>
        <w:t xml:space="preserve">The single most important technical change behind modern SAP FICO is the Universal Journal, table ACDOCA. It merges what used to be dozens of separate FI and CO tables into one line-item table that captures accounting and controlling data simultaneously, in the same currency types, at the same time. This is not a cosmetic change — it removes the periodic FI-CO reconciliation step that consumed a large share of a classic month-end close, and it is the foundation that makes real-time embedded analytics possible.</w:t>
      </w:r>
    </w:p>
    <w:p>
      <w:pPr>
        <w:pStyle w:val="Heading1"/>
        <w:pBdr>
          <w:bottom w:val="single" w:color="1F4E79" w:sz="6" w:space="4"/>
        </w:pBdr>
        <w:spacing w:after="160" w:before="360"/>
      </w:pPr>
      <w:r>
        <w:rPr>
          <w:b/>
          <w:bCs/>
          <w:color w:val="1F4E79"/>
          <w:sz w:val="30"/>
          <w:szCs w:val="30"/>
        </w:rPr>
        <w:t xml:space="preserve">2. Research Findings: How SAP FICO Is Evolving</w:t>
      </w:r>
    </w:p>
    <w:p>
      <w:pPr>
        <w:pStyle w:val="Heading2"/>
        <w:spacing w:after="120" w:before="260"/>
      </w:pPr>
      <w:r>
        <w:rPr>
          <w:b/>
          <w:bCs/>
          <w:color w:val="1F4E79"/>
          <w:sz w:val="24"/>
          <w:szCs w:val="24"/>
        </w:rPr>
        <w:t xml:space="preserve">2.1 Cloud-first delivery — RISE and GROW with SAP</w:t>
      </w:r>
    </w:p>
    <w:p>
      <w:pPr>
        <w:spacing w:after="160" w:line="300"/>
        <w:jc w:val="both"/>
      </w:pPr>
      <w:r>
        <w:rPr>
          <w:sz w:val="22"/>
          <w:szCs w:val="22"/>
        </w:rPr>
        <w:t xml:space="preserve">SAP is steering nearly all new and migrating customers toward cloud consumption models. RISE with SAP bundles S/4HANA Cloud Private Edition with infrastructure, tools, and a managed transition; GROW with SAP targets the Public Cloud edition for organisations willing to adopt SAP's standard "best-practice" processes with limited customisation. Industry commentary for 2026 frames this less as a hosting choice and more as a strategic decision: businesses that delay risk a compressed, higher-risk migration as the 2027 ECC deadline nears, while early movers gain time to redesign processes rather than just replicate old ones.</w:t>
      </w:r>
    </w:p>
    <w:p>
      <w:pPr>
        <w:pStyle w:val="ListParagraph"/>
        <w:numPr>
          <w:ilvl w:val="0"/>
          <w:numId w:val="2"/>
        </w:numPr>
        <w:spacing w:after="90" w:line="280"/>
      </w:pPr>
      <w:r>
        <w:rPr>
          <w:b/>
          <w:bCs/>
          <w:color w:val="1F4E79"/>
          <w:sz w:val="22"/>
          <w:szCs w:val="22"/>
        </w:rPr>
        <w:t xml:space="preserve">Practical effect on FICO: </w:t>
      </w:r>
      <w:r>
        <w:rPr>
          <w:sz w:val="22"/>
          <w:szCs w:val="22"/>
        </w:rPr>
        <w:t xml:space="preserve">configuration increasingly happens through guided configuration and the SAP Fiori-based Manage Your Solution apps rather than raw IMG transaction codes, and "clean core" principles discourage custom code inside the core FI/CO tables.</w:t>
      </w:r>
    </w:p>
    <w:p>
      <w:pPr>
        <w:pStyle w:val="Heading2"/>
        <w:spacing w:after="120" w:before="260"/>
      </w:pPr>
      <w:r>
        <w:rPr>
          <w:b/>
          <w:bCs/>
          <w:color w:val="1F4E79"/>
          <w:sz w:val="24"/>
          <w:szCs w:val="24"/>
        </w:rPr>
        <w:t xml:space="preserve">2.2 Embedded, real-time financial analytics</w:t>
      </w:r>
    </w:p>
    <w:p>
      <w:pPr>
        <w:spacing w:after="160" w:line="300"/>
        <w:jc w:val="both"/>
      </w:pPr>
      <w:r>
        <w:rPr>
          <w:sz w:val="22"/>
          <w:szCs w:val="22"/>
        </w:rPr>
        <w:t xml:space="preserve">Because ACDOCA holds granular, real-time data, S/4HANA's embedded analytics let finance users build and consume reports (cash position, P&amp;L, cost-centre variance) directly against live transactions in Fiori, without waiting for a separate BW extraction. Sources describe this as a genuine shift from periodic to on-demand financial visibility, and note that it is one of the clearest, most defensible business cases finance leaders use to justify migration spend.</w:t>
      </w:r>
    </w:p>
    <w:p>
      <w:pPr>
        <w:pStyle w:val="Heading2"/>
        <w:spacing w:after="120" w:before="260"/>
      </w:pPr>
      <w:r>
        <w:rPr>
          <w:b/>
          <w:bCs/>
          <w:color w:val="1F4E79"/>
          <w:sz w:val="24"/>
          <w:szCs w:val="24"/>
        </w:rPr>
        <w:t xml:space="preserve">2.3 Artificial intelligence and the Joule copilot</w:t>
      </w:r>
    </w:p>
    <w:p>
      <w:pPr>
        <w:spacing w:after="160" w:line="300"/>
        <w:jc w:val="both"/>
      </w:pPr>
      <w:r>
        <w:rPr>
          <w:sz w:val="22"/>
          <w:szCs w:val="22"/>
        </w:rPr>
        <w:t xml:space="preserve">The most visible change in 2025–2026 SAP finance conversations is the arrival of Joule, SAP's generative-AI copilot embedded across S/4HANA and the wider SAP portfolio. Joule allows finance users to ask natural-language questions ("which cost centres exceeded budget last quarter?"), retrieve documents and open items, and — increasingly — trigger actions such as posting a vendor invoice or routing an approval, rather than navigating transaction codes.</w:t>
      </w:r>
    </w:p>
    <w:p>
      <w:pPr>
        <w:spacing w:after="160" w:line="300"/>
        <w:jc w:val="both"/>
      </w:pPr>
      <w:r>
        <w:rPr>
          <w:sz w:val="22"/>
          <w:szCs w:val="22"/>
        </w:rPr>
        <w:t xml:space="preserve">Reporting from early 2026 describes Joule moving beyond a conversational assistant into an agentic platform with dozens of specialised agents and a large, growing skill library, spanning finance, procurement, and supply chain workflows. Complementary capabilities inside S/4HANA Finance — such as Predictive Accounting, ML-assisted GL account determination for unassigned invoices, and continuous/always-on control monitoring — are turning what used to be periodic control checks into real-time exception management.</w:t>
      </w:r>
    </w:p>
    <w:p>
      <w:pPr>
        <w:pStyle w:val="ListParagraph"/>
        <w:numPr>
          <w:ilvl w:val="0"/>
          <w:numId w:val="2"/>
        </w:numPr>
        <w:spacing w:after="90" w:line="280"/>
      </w:pPr>
      <w:r>
        <w:rPr>
          <w:b/>
          <w:bCs/>
          <w:color w:val="1F4E79"/>
          <w:sz w:val="22"/>
          <w:szCs w:val="22"/>
        </w:rPr>
        <w:t xml:space="preserve">Practical effect on FICO: </w:t>
      </w:r>
      <w:r>
        <w:rPr>
          <w:sz w:val="22"/>
          <w:szCs w:val="22"/>
        </w:rPr>
        <w:t xml:space="preserve">SAP and Microsoft have also announced production-ready interoperability between Joule and Microsoft Copilot (Teams, Excel, Outlook, Fabric), which matters because most large enterprises run both ecosystems side by side and previously had to choose which assistant to trust for finance data.</w:t>
      </w:r>
    </w:p>
    <w:p>
      <w:pPr>
        <w:pStyle w:val="Heading2"/>
        <w:spacing w:after="120" w:before="260"/>
      </w:pPr>
      <w:r>
        <w:rPr>
          <w:b/>
          <w:bCs/>
          <w:color w:val="1F4E79"/>
          <w:sz w:val="24"/>
          <w:szCs w:val="24"/>
        </w:rPr>
        <w:t xml:space="preserve">2.4 Continuous close and predictive finance</w:t>
      </w:r>
    </w:p>
    <w:p>
      <w:pPr>
        <w:spacing w:after="160" w:line="300"/>
        <w:jc w:val="both"/>
      </w:pPr>
      <w:r>
        <w:rPr>
          <w:sz w:val="22"/>
          <w:szCs w:val="22"/>
        </w:rPr>
        <w:t xml:space="preserve">Multiple 2026 sources describe a move away from the traditional "month-end crunch" toward continuous or soft-close models, where reconciliations, variance checks, and intercompany matching happen throughout the period rather than being compressed into the first week of the following month. AI is described as prioritising exceptions and explaining deviations automatically in accounts payable, accounts receivable, cash, and close processes — reducing clarification cycles rather than simply automating existing manual steps.</w:t>
      </w:r>
    </w:p>
    <w:p>
      <w:pPr>
        <w:pStyle w:val="Heading2"/>
        <w:spacing w:after="120" w:before="260"/>
      </w:pPr>
      <w:r>
        <w:rPr>
          <w:b/>
          <w:bCs/>
          <w:color w:val="1F4E79"/>
          <w:sz w:val="24"/>
          <w:szCs w:val="24"/>
        </w:rPr>
        <w:t xml:space="preserve">2.5 Regulatory and compliance pressure</w:t>
      </w:r>
    </w:p>
    <w:p>
      <w:pPr>
        <w:spacing w:after="160" w:line="300"/>
        <w:jc w:val="both"/>
      </w:pPr>
      <w:r>
        <w:rPr>
          <w:sz w:val="22"/>
          <w:szCs w:val="22"/>
        </w:rPr>
        <w:t xml:space="preserve">Tightening global tax and e-invoicing mandates (real-time transaction reporting, country-specific e-invoicing formats, data-residency rules) are cited as a parallel driver of S/4HANA adoption, since the platform's localisation and compliance content is maintained centrally by SAP in the cloud, rather than patched manually by each customer.</w:t>
      </w:r>
    </w:p>
    <w:p>
      <w:pPr>
        <w:pStyle w:val="Heading2"/>
        <w:spacing w:after="120" w:before="260"/>
      </w:pPr>
      <w:r>
        <w:rPr>
          <w:b/>
          <w:bCs/>
          <w:color w:val="1F4E79"/>
          <w:sz w:val="24"/>
          <w:szCs w:val="24"/>
        </w:rPr>
        <w:t xml:space="preserve">2.6 The changing shape of the FICO career</w:t>
      </w:r>
    </w:p>
    <w:p>
      <w:pPr>
        <w:spacing w:after="160" w:line="300"/>
        <w:jc w:val="both"/>
      </w:pPr>
      <w:r>
        <w:rPr>
          <w:sz w:val="22"/>
          <w:szCs w:val="22"/>
        </w:rPr>
        <w:t xml:space="preserve">Recruitment-focused research is consistent on one point: demand for SAP FICO skills remains strong through 2026, but the skill profile employers want has shifted. Employers are now looking for consultants who combine core FI/CO configuration knowledge with fluency in S/4HANA Finance, embedded analytics, cloud deployment models, and AI-enabled tools — not configuration knowledge alone. Global mobility and industry breadth (manufacturing, banking, retail, healthcare) are repeatedly cited as reasons the module remains a resilient long-term career choice even as the underlying technology changes rapidly.</w:t>
      </w:r>
    </w:p>
    <w:p>
      <w:pPr>
        <w:pStyle w:val="Heading2"/>
        <w:spacing w:after="120" w:before="260"/>
      </w:pPr>
      <w:r>
        <w:rPr>
          <w:b/>
          <w:bCs/>
          <w:color w:val="1F4E79"/>
          <w:sz w:val="24"/>
          <w:szCs w:val="24"/>
        </w:rPr>
        <w:t xml:space="preserve">2.7 Summary — Then vs. Now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79" w:val="clear"/>
            <w:tcMar>
              <w:top w:type="dxa" w:w="100"/>
              <w:left w:type="dxa" w:w="120"/>
              <w:bottom w:type="dxa" w:w="100"/>
              <w:right w:type="dxa" w:w="120"/>
            </w:tcMar>
          </w:tcPr>
          <w:p>
            <w:r>
              <w:rPr>
                <w:b/>
                <w:bCs/>
                <w:color w:val="FFFFFF"/>
                <w:sz w:val="20"/>
                <w:szCs w:val="20"/>
              </w:rPr>
              <w:t xml:space="preserve">Dimension</w:t>
            </w:r>
          </w:p>
        </w:tc>
        <w:tc>
          <w:tcPr>
            <w:tcW w:type="dxa" w:w="3400"/>
            <w:shd w:fill="1F4E79" w:val="clear"/>
            <w:tcMar>
              <w:top w:type="dxa" w:w="100"/>
              <w:left w:type="dxa" w:w="120"/>
              <w:bottom w:type="dxa" w:w="100"/>
              <w:right w:type="dxa" w:w="120"/>
            </w:tcMar>
          </w:tcPr>
          <w:p>
            <w:r>
              <w:rPr>
                <w:b/>
                <w:bCs/>
                <w:color w:val="FFFFFF"/>
                <w:sz w:val="20"/>
                <w:szCs w:val="20"/>
              </w:rPr>
              <w:t xml:space="preserve">SAP FICO — ECC Era (Then)</w:t>
            </w:r>
          </w:p>
        </w:tc>
        <w:tc>
          <w:tcPr>
            <w:tcW w:type="dxa" w:w="3400"/>
            <w:shd w:fill="1F4E79" w:val="clear"/>
            <w:tcMar>
              <w:top w:type="dxa" w:w="100"/>
              <w:left w:type="dxa" w:w="120"/>
              <w:bottom w:type="dxa" w:w="100"/>
              <w:right w:type="dxa" w:w="120"/>
            </w:tcMar>
          </w:tcPr>
          <w:p>
            <w:r>
              <w:rPr>
                <w:b/>
                <w:bCs/>
                <w:color w:val="FFFFFF"/>
                <w:sz w:val="20"/>
                <w:szCs w:val="20"/>
              </w:rPr>
              <w:t xml:space="preserve">SAP FICO — S/4HANA &amp; Cloud Era (Now / Next)</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Data model</w:t>
            </w:r>
          </w:p>
        </w:tc>
        <w:tc>
          <w:tcPr>
            <w:tcW w:type="dxa" w:w="3400"/>
            <w:tcMar>
              <w:top w:type="dxa" w:w="100"/>
              <w:left w:type="dxa" w:w="120"/>
              <w:bottom w:type="dxa" w:w="100"/>
              <w:right w:type="dxa" w:w="120"/>
            </w:tcMar>
          </w:tcPr>
          <w:p>
            <w:r>
              <w:rPr>
                <w:b w:val="false"/>
                <w:bCs w:val="false"/>
                <w:color w:val="000000"/>
                <w:sz w:val="20"/>
                <w:szCs w:val="20"/>
              </w:rPr>
              <w:t xml:space="preserve">Separate FI/CO tables (BSEG, COEP, etc.) reconciled periodically</w:t>
            </w:r>
          </w:p>
        </w:tc>
        <w:tc>
          <w:tcPr>
            <w:tcW w:type="dxa" w:w="3400"/>
            <w:tcMar>
              <w:top w:type="dxa" w:w="100"/>
              <w:left w:type="dxa" w:w="120"/>
              <w:bottom w:type="dxa" w:w="100"/>
              <w:right w:type="dxa" w:w="120"/>
            </w:tcMar>
          </w:tcPr>
          <w:p>
            <w:r>
              <w:rPr>
                <w:b w:val="false"/>
                <w:bCs w:val="false"/>
                <w:color w:val="000000"/>
                <w:sz w:val="20"/>
                <w:szCs w:val="20"/>
              </w:rPr>
              <w:t xml:space="preserve">Single Universal Journal (ACDOCA) — FI and CO always in sync, real time</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Reporting</w:t>
            </w:r>
          </w:p>
        </w:tc>
        <w:tc>
          <w:tcPr>
            <w:tcW w:type="dxa" w:w="3400"/>
            <w:tcMar>
              <w:top w:type="dxa" w:w="100"/>
              <w:left w:type="dxa" w:w="120"/>
              <w:bottom w:type="dxa" w:w="100"/>
              <w:right w:type="dxa" w:w="120"/>
            </w:tcMar>
          </w:tcPr>
          <w:p>
            <w:r>
              <w:rPr>
                <w:b w:val="false"/>
                <w:bCs w:val="false"/>
                <w:color w:val="000000"/>
                <w:sz w:val="20"/>
                <w:szCs w:val="20"/>
              </w:rPr>
              <w:t xml:space="preserve">Batch jobs, replicated BW cubes, overnight refresh</w:t>
            </w:r>
          </w:p>
        </w:tc>
        <w:tc>
          <w:tcPr>
            <w:tcW w:type="dxa" w:w="3400"/>
            <w:tcMar>
              <w:top w:type="dxa" w:w="100"/>
              <w:left w:type="dxa" w:w="120"/>
              <w:bottom w:type="dxa" w:w="100"/>
              <w:right w:type="dxa" w:w="120"/>
            </w:tcMar>
          </w:tcPr>
          <w:p>
            <w:r>
              <w:rPr>
                <w:b w:val="false"/>
                <w:bCs w:val="false"/>
                <w:color w:val="000000"/>
                <w:sz w:val="20"/>
                <w:szCs w:val="20"/>
              </w:rPr>
              <w:t xml:space="preserve">Embedded, real-time analytics (Fiori apps) directly on live transactional data</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Deployment</w:t>
            </w:r>
          </w:p>
        </w:tc>
        <w:tc>
          <w:tcPr>
            <w:tcW w:type="dxa" w:w="3400"/>
            <w:tcMar>
              <w:top w:type="dxa" w:w="100"/>
              <w:left w:type="dxa" w:w="120"/>
              <w:bottom w:type="dxa" w:w="100"/>
              <w:right w:type="dxa" w:w="120"/>
            </w:tcMar>
          </w:tcPr>
          <w:p>
            <w:r>
              <w:rPr>
                <w:b w:val="false"/>
                <w:bCs w:val="false"/>
                <w:color w:val="000000"/>
                <w:sz w:val="20"/>
                <w:szCs w:val="20"/>
              </w:rPr>
              <w:t xml:space="preserve">On-premise, customer-managed hardware and upgrades</w:t>
            </w:r>
          </w:p>
        </w:tc>
        <w:tc>
          <w:tcPr>
            <w:tcW w:type="dxa" w:w="3400"/>
            <w:tcMar>
              <w:top w:type="dxa" w:w="100"/>
              <w:left w:type="dxa" w:w="120"/>
              <w:bottom w:type="dxa" w:w="100"/>
              <w:right w:type="dxa" w:w="120"/>
            </w:tcMar>
          </w:tcPr>
          <w:p>
            <w:r>
              <w:rPr>
                <w:b w:val="false"/>
                <w:bCs w:val="false"/>
                <w:color w:val="000000"/>
                <w:sz w:val="20"/>
                <w:szCs w:val="20"/>
              </w:rPr>
              <w:t xml:space="preserve">RISE/GROW with SAP — cloud-first, subscription-based, continuous updates</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User interaction</w:t>
            </w:r>
          </w:p>
        </w:tc>
        <w:tc>
          <w:tcPr>
            <w:tcW w:type="dxa" w:w="3400"/>
            <w:tcMar>
              <w:top w:type="dxa" w:w="100"/>
              <w:left w:type="dxa" w:w="120"/>
              <w:bottom w:type="dxa" w:w="100"/>
              <w:right w:type="dxa" w:w="120"/>
            </w:tcMar>
          </w:tcPr>
          <w:p>
            <w:r>
              <w:rPr>
                <w:b w:val="false"/>
                <w:bCs w:val="false"/>
                <w:color w:val="000000"/>
                <w:sz w:val="20"/>
                <w:szCs w:val="20"/>
              </w:rPr>
              <w:t xml:space="preserve">T-codes, SAP GUI screens</w:t>
            </w:r>
          </w:p>
        </w:tc>
        <w:tc>
          <w:tcPr>
            <w:tcW w:type="dxa" w:w="3400"/>
            <w:tcMar>
              <w:top w:type="dxa" w:w="100"/>
              <w:left w:type="dxa" w:w="120"/>
              <w:bottom w:type="dxa" w:w="100"/>
              <w:right w:type="dxa" w:w="120"/>
            </w:tcMar>
          </w:tcPr>
          <w:p>
            <w:r>
              <w:rPr>
                <w:b w:val="false"/>
                <w:bCs w:val="false"/>
                <w:color w:val="000000"/>
                <w:sz w:val="20"/>
                <w:szCs w:val="20"/>
              </w:rPr>
              <w:t xml:space="preserve">Fiori apps plus Joule — natural-language, conversational AI copilot</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Close process</w:t>
            </w:r>
          </w:p>
        </w:tc>
        <w:tc>
          <w:tcPr>
            <w:tcW w:type="dxa" w:w="3400"/>
            <w:tcMar>
              <w:top w:type="dxa" w:w="100"/>
              <w:left w:type="dxa" w:w="120"/>
              <w:bottom w:type="dxa" w:w="100"/>
              <w:right w:type="dxa" w:w="120"/>
            </w:tcMar>
          </w:tcPr>
          <w:p>
            <w:r>
              <w:rPr>
                <w:b w:val="false"/>
                <w:bCs w:val="false"/>
                <w:color w:val="000000"/>
                <w:sz w:val="20"/>
                <w:szCs w:val="20"/>
              </w:rPr>
              <w:t xml:space="preserve">Manual reconciliations, month-end crunch, static controls</w:t>
            </w:r>
          </w:p>
        </w:tc>
        <w:tc>
          <w:tcPr>
            <w:tcW w:type="dxa" w:w="3400"/>
            <w:tcMar>
              <w:top w:type="dxa" w:w="100"/>
              <w:left w:type="dxa" w:w="120"/>
              <w:bottom w:type="dxa" w:w="100"/>
              <w:right w:type="dxa" w:w="120"/>
            </w:tcMar>
          </w:tcPr>
          <w:p>
            <w:r>
              <w:rPr>
                <w:b w:val="false"/>
                <w:bCs w:val="false"/>
                <w:color w:val="000000"/>
                <w:sz w:val="20"/>
                <w:szCs w:val="20"/>
              </w:rPr>
              <w:t xml:space="preserve">Continuous/soft close, predictive accounting, AI-flagged exceptions</w:t>
            </w:r>
          </w:p>
        </w:tc>
      </w:tr>
      <w:tr>
        <w:tc>
          <w:tcPr>
            <w:tcW w:type="dxa" w:w="2600"/>
            <w:shd w:fill="F2F2F2" w:val="clear"/>
            <w:tcMar>
              <w:top w:type="dxa" w:w="100"/>
              <w:left w:type="dxa" w:w="120"/>
              <w:bottom w:type="dxa" w:w="100"/>
              <w:right w:type="dxa" w:w="120"/>
            </w:tcMar>
          </w:tcPr>
          <w:p>
            <w:r>
              <w:rPr>
                <w:b w:val="false"/>
                <w:bCs w:val="false"/>
                <w:color w:val="000000"/>
                <w:sz w:val="20"/>
                <w:szCs w:val="20"/>
              </w:rPr>
              <w:t xml:space="preserve">Consultant's role</w:t>
            </w:r>
          </w:p>
        </w:tc>
        <w:tc>
          <w:tcPr>
            <w:tcW w:type="dxa" w:w="3400"/>
            <w:tcMar>
              <w:top w:type="dxa" w:w="100"/>
              <w:left w:type="dxa" w:w="120"/>
              <w:bottom w:type="dxa" w:w="100"/>
              <w:right w:type="dxa" w:w="120"/>
            </w:tcMar>
          </w:tcPr>
          <w:p>
            <w:r>
              <w:rPr>
                <w:b w:val="false"/>
                <w:bCs w:val="false"/>
                <w:color w:val="000000"/>
                <w:sz w:val="20"/>
                <w:szCs w:val="20"/>
              </w:rPr>
              <w:t xml:space="preserve">Configuration specialist (OB..., OKB... transaction codes)</w:t>
            </w:r>
          </w:p>
        </w:tc>
        <w:tc>
          <w:tcPr>
            <w:tcW w:type="dxa" w:w="3400"/>
            <w:tcMar>
              <w:top w:type="dxa" w:w="100"/>
              <w:left w:type="dxa" w:w="120"/>
              <w:bottom w:type="dxa" w:w="100"/>
              <w:right w:type="dxa" w:w="120"/>
            </w:tcMar>
          </w:tcPr>
          <w:p>
            <w:r>
              <w:rPr>
                <w:b w:val="false"/>
                <w:bCs w:val="false"/>
                <w:color w:val="000000"/>
                <w:sz w:val="20"/>
                <w:szCs w:val="20"/>
              </w:rPr>
              <w:t xml:space="preserve">Process advisor + data/AI-fluent finance transformation partner</w:t>
            </w:r>
          </w:p>
        </w:tc>
      </w:tr>
    </w:tbl>
    <w:p>
      <w:pPr>
        <w:spacing w:after="200" w:before="200"/>
      </w:pPr>
    </w:p>
    <w:p>
      <w:r>
        <w:br w:type="page"/>
      </w:r>
    </w:p>
    <w:p>
      <w:pPr>
        <w:pStyle w:val="Heading1"/>
        <w:pBdr>
          <w:bottom w:val="single" w:color="1F4E79" w:sz="6" w:space="4"/>
        </w:pBdr>
        <w:spacing w:after="160" w:before="360"/>
      </w:pPr>
      <w:r>
        <w:rPr>
          <w:b/>
          <w:bCs/>
          <w:color w:val="1F4E79"/>
          <w:sz w:val="30"/>
          <w:szCs w:val="30"/>
        </w:rPr>
        <w:t xml:space="preserve">3. Potential Impact on Businesses</w:t>
      </w:r>
    </w:p>
    <w:p>
      <w:pPr>
        <w:pStyle w:val="ListParagraph"/>
        <w:numPr>
          <w:ilvl w:val="0"/>
          <w:numId w:val="2"/>
        </w:numPr>
        <w:spacing w:after="90" w:line="280"/>
      </w:pPr>
      <w:r>
        <w:rPr>
          <w:b/>
          <w:bCs/>
          <w:color w:val="1F4E79"/>
          <w:sz w:val="22"/>
          <w:szCs w:val="22"/>
        </w:rPr>
        <w:t xml:space="preserve">Faster, more trustworthy decisions: </w:t>
      </w:r>
      <w:r>
        <w:rPr>
          <w:sz w:val="22"/>
          <w:szCs w:val="22"/>
        </w:rPr>
        <w:t xml:space="preserve">real-time embedded analytics and a single source of truth (ACDOCA) shorten the gap between a transaction happening and a decision-maker seeing its financial effect.</w:t>
      </w:r>
    </w:p>
    <w:p>
      <w:pPr>
        <w:pStyle w:val="ListParagraph"/>
        <w:numPr>
          <w:ilvl w:val="0"/>
          <w:numId w:val="2"/>
        </w:numPr>
        <w:spacing w:after="90" w:line="280"/>
      </w:pPr>
      <w:r>
        <w:rPr>
          <w:b/>
          <w:bCs/>
          <w:color w:val="1F4E79"/>
          <w:sz w:val="22"/>
          <w:szCs w:val="22"/>
        </w:rPr>
        <w:t xml:space="preserve">Leaner close cycles: </w:t>
      </w:r>
      <w:r>
        <w:rPr>
          <w:sz w:val="22"/>
          <w:szCs w:val="22"/>
        </w:rPr>
        <w:t xml:space="preserve">continuous close and AI-flagged exceptions reduce the manual reconciliation burden that traditionally dominated the first week of every month, freeing finance staff for analysis rather than data-chasing.</w:t>
      </w:r>
    </w:p>
    <w:p>
      <w:pPr>
        <w:pStyle w:val="ListParagraph"/>
        <w:numPr>
          <w:ilvl w:val="0"/>
          <w:numId w:val="2"/>
        </w:numPr>
        <w:spacing w:after="90" w:line="280"/>
      </w:pPr>
      <w:r>
        <w:rPr>
          <w:b/>
          <w:bCs/>
          <w:color w:val="1F4E79"/>
          <w:sz w:val="22"/>
          <w:szCs w:val="22"/>
        </w:rPr>
        <w:t xml:space="preserve">Lower total cost of ownership over time: </w:t>
      </w:r>
      <w:r>
        <w:rPr>
          <w:sz w:val="22"/>
          <w:szCs w:val="22"/>
        </w:rPr>
        <w:t xml:space="preserve">cloud delivery (RISE/GROW) shifts spend from large periodic upgrade projects to predictable subscription and continuous-innovation cycles, though it also reduces the scope for deep customisation.</w:t>
      </w:r>
    </w:p>
    <w:p>
      <w:pPr>
        <w:pStyle w:val="ListParagraph"/>
        <w:numPr>
          <w:ilvl w:val="0"/>
          <w:numId w:val="2"/>
        </w:numPr>
        <w:spacing w:after="90" w:line="280"/>
      </w:pPr>
      <w:r>
        <w:rPr>
          <w:b/>
          <w:bCs/>
          <w:color w:val="1F4E79"/>
          <w:sz w:val="22"/>
          <w:szCs w:val="22"/>
        </w:rPr>
        <w:t xml:space="preserve">New governance questions: </w:t>
      </w:r>
      <w:r>
        <w:rPr>
          <w:sz w:val="22"/>
          <w:szCs w:val="22"/>
        </w:rPr>
        <w:t xml:space="preserve">as AI agents move from answering questions to executing postings and approvals, businesses must define clear guardrails — authorisation limits, audit trails, and human review points — before granting agents transactional authority.</w:t>
      </w:r>
    </w:p>
    <w:p>
      <w:pPr>
        <w:pStyle w:val="ListParagraph"/>
        <w:numPr>
          <w:ilvl w:val="0"/>
          <w:numId w:val="2"/>
        </w:numPr>
        <w:spacing w:after="90" w:line="280"/>
      </w:pPr>
      <w:r>
        <w:rPr>
          <w:b/>
          <w:bCs/>
          <w:color w:val="1F4E79"/>
          <w:sz w:val="22"/>
          <w:szCs w:val="22"/>
        </w:rPr>
        <w:t xml:space="preserve">Talent and change-management pressure: </w:t>
      </w:r>
      <w:r>
        <w:rPr>
          <w:sz w:val="22"/>
          <w:szCs w:val="22"/>
        </w:rPr>
        <w:t xml:space="preserve">organisations need to reskill existing FI/CO teams in parallel with the technical migration; a technically perfect S/4HANA implementation still under-delivers if end users do not adopt Fiori apps and AI-assisted workflows.</w:t>
      </w:r>
    </w:p>
    <w:p>
      <w:pPr>
        <w:pStyle w:val="ListParagraph"/>
        <w:numPr>
          <w:ilvl w:val="0"/>
          <w:numId w:val="2"/>
        </w:numPr>
        <w:spacing w:after="90" w:line="280"/>
      </w:pPr>
      <w:r>
        <w:rPr>
          <w:b/>
          <w:bCs/>
          <w:color w:val="1F4E79"/>
          <w:sz w:val="22"/>
          <w:szCs w:val="22"/>
        </w:rPr>
        <w:t xml:space="preserve">Compliance as a byproduct, not a project: </w:t>
      </w:r>
      <w:r>
        <w:rPr>
          <w:sz w:val="22"/>
          <w:szCs w:val="22"/>
        </w:rPr>
        <w:t xml:space="preserve">centrally maintained, cloud-delivered localisation content means staying compliant with evolving e-invoicing and tax-reporting mandates becomes closer to "always on" rather than a recurring separate project.</w:t>
      </w:r>
    </w:p>
    <w:p>
      <w:pPr>
        <w:pStyle w:val="Heading1"/>
        <w:pBdr>
          <w:bottom w:val="single" w:color="1F4E79" w:sz="6" w:space="4"/>
        </w:pBdr>
        <w:spacing w:after="160" w:before="360"/>
      </w:pPr>
      <w:r>
        <w:rPr>
          <w:b/>
          <w:bCs/>
          <w:color w:val="1F4E79"/>
          <w:sz w:val="30"/>
          <w:szCs w:val="30"/>
        </w:rPr>
        <w:t xml:space="preserve">4. Personal Insights (20 Years of SAP FICO Practice)</w:t>
      </w:r>
    </w:p>
    <w:p>
      <w:pPr>
        <w:spacing w:after="160" w:line="300"/>
        <w:jc w:val="both"/>
      </w:pPr>
      <w:r>
        <w:rPr>
          <w:sz w:val="22"/>
          <w:szCs w:val="22"/>
        </w:rPr>
        <w:t xml:space="preserve">Having worked through SAP R/3, multiple ECC upgrade cycles, and now S/4HANA and cloud implementations, a few observations stand out that research alone does not always convey:</w:t>
      </w:r>
    </w:p>
    <w:p>
      <w:pPr>
        <w:pStyle w:val="Heading2"/>
        <w:spacing w:after="120" w:before="260"/>
      </w:pPr>
      <w:r>
        <w:rPr>
          <w:b/>
          <w:bCs/>
          <w:color w:val="1F4E79"/>
          <w:sz w:val="24"/>
          <w:szCs w:val="24"/>
        </w:rPr>
        <w:t xml:space="preserve">4.1 The Universal Journal is the real turning point, not the AI headlines</w:t>
      </w:r>
    </w:p>
    <w:p>
      <w:pPr>
        <w:spacing w:after="160" w:line="300"/>
        <w:jc w:val="both"/>
      </w:pPr>
      <w:r>
        <w:rPr>
          <w:sz w:val="22"/>
          <w:szCs w:val="22"/>
        </w:rPr>
        <w:t xml:space="preserve">Every SAP release cycle brings marketing around new front-end features, but ACDOCA is the change that actually altered how finance work gets done. Reconciling FI and CO used to consume real effort every period; removing that step structurally is a bigger productivity gain than any single AI feature layered on top. Anyone learning FICO today should understand ACDOCA deeply before worrying about Joule prompts — the data model is what makes the AI trustworthy in the first place.</w:t>
      </w:r>
    </w:p>
    <w:p>
      <w:pPr>
        <w:pStyle w:val="Heading2"/>
        <w:spacing w:after="120" w:before="260"/>
      </w:pPr>
      <w:r>
        <w:rPr>
          <w:b/>
          <w:bCs/>
          <w:color w:val="1F4E79"/>
          <w:sz w:val="24"/>
          <w:szCs w:val="24"/>
        </w:rPr>
        <w:t xml:space="preserve">4.2 AI will change what consultants are paid for, not whether they are needed</w:t>
      </w:r>
    </w:p>
    <w:p>
      <w:pPr>
        <w:spacing w:after="160" w:line="300"/>
        <w:jc w:val="both"/>
      </w:pPr>
      <w:r>
        <w:rPr>
          <w:sz w:val="22"/>
          <w:szCs w:val="22"/>
        </w:rPr>
        <w:t xml:space="preserve">Joule and similar copilots are good at retrieving information and executing well-defined, rules-based transactions. They are not yet a substitute for the judgment required to design a chart of accounts, decide a costing structure, or resolve a genuinely ambiguous month-end variance. In practice, this pushes junior-to-mid-level consultants away from screen-by-screen configuration work and toward process design, exception handling, and validating what the AI proposes — a more analytical, less mechanical role than the one this profession offered a decade ago.</w:t>
      </w:r>
    </w:p>
    <w:p>
      <w:pPr>
        <w:pStyle w:val="Heading2"/>
        <w:spacing w:after="120" w:before="260"/>
      </w:pPr>
      <w:r>
        <w:rPr>
          <w:b/>
          <w:bCs/>
          <w:color w:val="1F4E79"/>
          <w:sz w:val="24"/>
          <w:szCs w:val="24"/>
        </w:rPr>
        <w:t xml:space="preserve">4.3 "Clean core" is a discipline, not just a technical constraint</w:t>
      </w:r>
    </w:p>
    <w:p>
      <w:pPr>
        <w:spacing w:after="160" w:line="300"/>
        <w:jc w:val="both"/>
      </w:pPr>
      <w:r>
        <w:rPr>
          <w:sz w:val="22"/>
          <w:szCs w:val="22"/>
        </w:rPr>
        <w:t xml:space="preserve">Cloud-first delivery limits the custom code that used to accumulate inside on-premise systems over many years. From direct experience, most of that accumulated customisation existed to work around a process gap, not a genuine requirement. Clean-core forces organisations to solve the process problem properly (often through configuration or a side-by-side extension on SAP BTP) instead of hard-coding an exception into the core system. This is healthier long term, even when it feels restrictive during a migration project.</w:t>
      </w:r>
    </w:p>
    <w:p>
      <w:pPr>
        <w:pStyle w:val="Heading2"/>
        <w:spacing w:after="120" w:before="260"/>
      </w:pPr>
      <w:r>
        <w:rPr>
          <w:b/>
          <w:bCs/>
          <w:color w:val="1F4E79"/>
          <w:sz w:val="24"/>
          <w:szCs w:val="24"/>
        </w:rPr>
        <w:t xml:space="preserve">4.4 Migration success is decided by data quality and change management, not technology</w:t>
      </w:r>
    </w:p>
    <w:p>
      <w:pPr>
        <w:spacing w:after="160" w:line="300"/>
        <w:jc w:val="both"/>
      </w:pPr>
      <w:r>
        <w:rPr>
          <w:sz w:val="22"/>
          <w:szCs w:val="22"/>
        </w:rPr>
        <w:t xml:space="preserve">Across many ECC-to-S/4HANA transitions, the projects that struggled rarely failed because of the software. They failed because master data (cost centres, profit centres, chart of accounts) was inconsistent going in, or because end users were handed a new interface with insufficient training. As the 2027 deadline compresses timelines industry-wide, the organisations that treat this as a finance transformation programme — cleaning data and investing in user adoption — will get materially more value than those that treat it as a lift-and-shift IT project.</w:t>
      </w:r>
    </w:p>
    <w:p>
      <w:pPr>
        <w:pStyle w:val="Heading2"/>
        <w:spacing w:after="120" w:before="260"/>
      </w:pPr>
      <w:r>
        <w:rPr>
          <w:b/>
          <w:bCs/>
          <w:color w:val="1F4E79"/>
          <w:sz w:val="24"/>
          <w:szCs w:val="24"/>
        </w:rPr>
        <w:t xml:space="preserve">4.5 What this means for an intern starting now</w:t>
      </w:r>
    </w:p>
    <w:p>
      <w:pPr>
        <w:pStyle w:val="ListParagraph"/>
        <w:numPr>
          <w:ilvl w:val="0"/>
          <w:numId w:val="2"/>
        </w:numPr>
        <w:spacing w:after="90" w:line="280"/>
      </w:pPr>
      <w:r>
        <w:rPr>
          <w:b/>
          <w:bCs/>
          <w:color w:val="1F4E79"/>
          <w:sz w:val="22"/>
          <w:szCs w:val="22"/>
        </w:rPr>
        <w:t xml:space="preserve">Learn the Universal Journal and embedded analytics first; </w:t>
      </w:r>
      <w:r>
        <w:rPr>
          <w:sz w:val="22"/>
          <w:szCs w:val="22"/>
        </w:rPr>
        <w:t xml:space="preserve">they are the foundation everything else (including AI features) sits on.</w:t>
      </w:r>
    </w:p>
    <w:p>
      <w:pPr>
        <w:pStyle w:val="ListParagraph"/>
        <w:numPr>
          <w:ilvl w:val="0"/>
          <w:numId w:val="2"/>
        </w:numPr>
        <w:spacing w:after="90" w:line="280"/>
      </w:pPr>
      <w:r>
        <w:rPr>
          <w:b/>
          <w:bCs/>
          <w:color w:val="1F4E79"/>
          <w:sz w:val="22"/>
          <w:szCs w:val="22"/>
        </w:rPr>
        <w:t xml:space="preserve">Get comfortable inside Fiori, not just SAP GUI; </w:t>
      </w:r>
      <w:r>
        <w:rPr>
          <w:sz w:val="22"/>
          <w:szCs w:val="22"/>
        </w:rPr>
        <w:t xml:space="preserve">most new user interaction with FICO happens there now.</w:t>
      </w:r>
    </w:p>
    <w:p>
      <w:pPr>
        <w:pStyle w:val="ListParagraph"/>
        <w:numPr>
          <w:ilvl w:val="0"/>
          <w:numId w:val="2"/>
        </w:numPr>
        <w:spacing w:after="90" w:line="280"/>
      </w:pPr>
      <w:r>
        <w:rPr>
          <w:b/>
          <w:bCs/>
          <w:color w:val="1F4E79"/>
          <w:sz w:val="22"/>
          <w:szCs w:val="22"/>
        </w:rPr>
        <w:t xml:space="preserve">Treat Joule as a colleague to supervise, not a black box; </w:t>
      </w:r>
      <w:r>
        <w:rPr>
          <w:sz w:val="22"/>
          <w:szCs w:val="22"/>
        </w:rPr>
        <w:t xml:space="preserve">understanding why it proposes a GL account or flags a variance is more valuable than simply accepting its output.</w:t>
      </w:r>
    </w:p>
    <w:p>
      <w:pPr>
        <w:pStyle w:val="ListParagraph"/>
        <w:numPr>
          <w:ilvl w:val="0"/>
          <w:numId w:val="2"/>
        </w:numPr>
        <w:spacing w:after="90" w:line="280"/>
      </w:pPr>
      <w:r>
        <w:rPr>
          <w:b/>
          <w:bCs/>
          <w:color w:val="1F4E79"/>
          <w:sz w:val="22"/>
          <w:szCs w:val="22"/>
        </w:rPr>
        <w:t xml:space="preserve">Build cross-functional fluency; </w:t>
      </w:r>
      <w:r>
        <w:rPr>
          <w:sz w:val="22"/>
          <w:szCs w:val="22"/>
        </w:rPr>
        <w:t xml:space="preserve">FICO increasingly sits next to procurement, sales, and supply chain data inside the same real-time journal, so understanding those processes strengthens finance analysis.</w:t>
      </w:r>
    </w:p>
    <w:p>
      <w:pPr>
        <w:pBdr>
          <w:left w:val="single" w:color="1F4E79" w:sz="18" w:space="8"/>
        </w:pBdr>
        <w:shd w:fill="F2F2F2" w:val="clear"/>
        <w:spacing w:after="200" w:before="160" w:line="300"/>
        <w:ind w:left="360" w:right="360"/>
      </w:pPr>
      <w:r>
        <w:rPr>
          <w:i/>
          <w:iCs/>
          <w:color w:val="404040"/>
          <w:sz w:val="22"/>
          <w:szCs w:val="22"/>
        </w:rPr>
        <w:t xml:space="preserve">"The tools around SAP FICO will keep changing — GUI to Fiori, batch reporting to embedded analytics, transaction codes to natural-language copilots. What has not changed in twenty years is that the businesses which get the most value are the ones that use each new capability to simplify a process, not just to automate the old one faster."</w:t>
      </w:r>
    </w:p>
    <w:p>
      <w:pPr>
        <w:pStyle w:val="Heading1"/>
        <w:pBdr>
          <w:bottom w:val="single" w:color="1F4E79" w:sz="6" w:space="4"/>
        </w:pBdr>
        <w:spacing w:after="160" w:before="360"/>
      </w:pPr>
      <w:r>
        <w:rPr>
          <w:b/>
          <w:bCs/>
          <w:color w:val="1F4E79"/>
          <w:sz w:val="30"/>
          <w:szCs w:val="30"/>
        </w:rPr>
        <w:t xml:space="preserve">5. Conclusion</w:t>
      </w:r>
    </w:p>
    <w:p>
      <w:pPr>
        <w:spacing w:after="160" w:line="300"/>
        <w:jc w:val="both"/>
      </w:pPr>
      <w:r>
        <w:rPr>
          <w:sz w:val="22"/>
          <w:szCs w:val="22"/>
        </w:rPr>
        <w:t xml:space="preserve">SAP FICO's future is best understood as continuity of purpose with a substantially modernised delivery model. The core discipline — accurate financial accounting and meaningful cost/management reporting — is unchanged. What has changed, and will keep changing through the rest of this decade, is the underlying data architecture (Universal Journal), the delivery model (cloud-first, subscription-based, continuously updated), and the interface between finance professionals and the system (embedded analytics and agentic AI through Joule). For businesses, this translates into faster decisions, leaner close cycles, and new governance responsibilities. For SAP FICO professionals, including those beginning their careers through internships such as this one, it translates into a role that is shifting from configuration execution toward process design, data stewardship, and AI oversight — a more strategic position within the finance function than the module held a decade ago.</w:t>
      </w:r>
    </w:p>
    <w:p>
      <w:pPr>
        <w:pStyle w:val="Heading1"/>
        <w:pBdr>
          <w:bottom w:val="single" w:color="1F4E79" w:sz="6" w:space="4"/>
        </w:pBdr>
        <w:spacing w:after="160" w:before="360"/>
      </w:pPr>
      <w:r>
        <w:rPr>
          <w:b/>
          <w:bCs/>
          <w:color w:val="1F4E79"/>
          <w:sz w:val="30"/>
          <w:szCs w:val="30"/>
        </w:rPr>
        <w:t xml:space="preserve">References</w:t>
      </w:r>
    </w:p>
    <w:p>
      <w:pPr>
        <w:spacing w:after="160" w:line="300"/>
        <w:jc w:val="both"/>
      </w:pPr>
      <w:r>
        <w:rPr>
          <w:i/>
          <w:iCs/>
          <w:sz w:val="22"/>
          <w:szCs w:val="22"/>
        </w:rPr>
        <w:t xml:space="preserve">The following sources, current as of 2026, were consulted in preparing this report:</w:t>
      </w:r>
    </w:p>
    <w:p>
      <w:pPr>
        <w:pStyle w:val="ListParagraph"/>
        <w:numPr>
          <w:ilvl w:val="0"/>
          <w:numId w:val="2"/>
        </w:numPr>
        <w:spacing w:after="90" w:line="280"/>
      </w:pPr>
      <w:r>
        <w:rPr>
          <w:sz w:val="22"/>
          <w:szCs w:val="22"/>
        </w:rPr>
        <w:t xml:space="preserve">Auritas — "2026 SAP Trends: Modernization of Architectures to Intelligent Automation" (auritas.com)</w:t>
      </w:r>
    </w:p>
    <w:p>
      <w:pPr>
        <w:pStyle w:val="ListParagraph"/>
        <w:numPr>
          <w:ilvl w:val="0"/>
          <w:numId w:val="2"/>
        </w:numPr>
        <w:spacing w:after="90" w:line="280"/>
      </w:pPr>
      <w:r>
        <w:rPr>
          <w:sz w:val="22"/>
          <w:szCs w:val="22"/>
        </w:rPr>
        <w:t xml:space="preserve">Innovapte — "SAP S/4HANA Trends 2026: What Every CIO Should Know" (innovapte.com)</w:t>
      </w:r>
    </w:p>
    <w:p>
      <w:pPr>
        <w:pStyle w:val="ListParagraph"/>
        <w:numPr>
          <w:ilvl w:val="0"/>
          <w:numId w:val="2"/>
        </w:numPr>
        <w:spacing w:after="90" w:line="280"/>
      </w:pPr>
      <w:r>
        <w:rPr>
          <w:sz w:val="22"/>
          <w:szCs w:val="22"/>
        </w:rPr>
        <w:t xml:space="preserve">ERP VITS — "SAP FICO Recruitment Trends in 2026: Skills Employers Want" (erpvits.com)</w:t>
      </w:r>
    </w:p>
    <w:p>
      <w:pPr>
        <w:pStyle w:val="ListParagraph"/>
        <w:numPr>
          <w:ilvl w:val="0"/>
          <w:numId w:val="2"/>
        </w:numPr>
        <w:spacing w:after="90" w:line="280"/>
      </w:pPr>
      <w:r>
        <w:rPr>
          <w:sz w:val="22"/>
          <w:szCs w:val="22"/>
        </w:rPr>
        <w:t xml:space="preserve">ERP VITS — "SAP FICO AI Automation: Future of Finance Automation" (erpvits.com)</w:t>
      </w:r>
    </w:p>
    <w:p>
      <w:pPr>
        <w:pStyle w:val="ListParagraph"/>
        <w:numPr>
          <w:ilvl w:val="0"/>
          <w:numId w:val="2"/>
        </w:numPr>
        <w:spacing w:after="90" w:line="280"/>
      </w:pPr>
      <w:r>
        <w:rPr>
          <w:sz w:val="22"/>
          <w:szCs w:val="22"/>
        </w:rPr>
        <w:t xml:space="preserve">SAP Community — "SAP S/4HANA Finance Integration and Use Case with SAP Joule" (community.sap.com)</w:t>
      </w:r>
    </w:p>
    <w:p>
      <w:pPr>
        <w:pStyle w:val="ListParagraph"/>
        <w:numPr>
          <w:ilvl w:val="0"/>
          <w:numId w:val="2"/>
        </w:numPr>
        <w:spacing w:after="90" w:line="280"/>
      </w:pPr>
      <w:r>
        <w:rPr>
          <w:sz w:val="22"/>
          <w:szCs w:val="22"/>
        </w:rPr>
        <w:t xml:space="preserve">SAVIC Technologies — "SAP Business AI Q1 2026: Joule and AI Agents Explained" (savictech.com)</w:t>
      </w:r>
    </w:p>
    <w:p>
      <w:pPr>
        <w:pStyle w:val="ListParagraph"/>
        <w:numPr>
          <w:ilvl w:val="0"/>
          <w:numId w:val="2"/>
        </w:numPr>
        <w:spacing w:after="90" w:line="280"/>
      </w:pPr>
      <w:r>
        <w:rPr>
          <w:sz w:val="22"/>
          <w:szCs w:val="22"/>
        </w:rPr>
        <w:t xml:space="preserve">SAVIC Technologies — "SAP Microsoft Copilot Integration 2026 — CIO Guide" (savictech.com)</w:t>
      </w:r>
    </w:p>
    <w:p>
      <w:pPr>
        <w:pStyle w:val="ListParagraph"/>
        <w:numPr>
          <w:ilvl w:val="0"/>
          <w:numId w:val="2"/>
        </w:numPr>
        <w:spacing w:after="90" w:line="280"/>
      </w:pPr>
      <w:r>
        <w:rPr>
          <w:sz w:val="22"/>
          <w:szCs w:val="22"/>
        </w:rPr>
        <w:t xml:space="preserve">Fink IT-Solutions — "AI in SAP Finance 2026 | Joule &amp; Cloud ERP" (blog.fink-its.de)</w:t>
      </w:r>
    </w:p>
    <w:p>
      <w:pPr>
        <w:pStyle w:val="ListParagraph"/>
        <w:numPr>
          <w:ilvl w:val="0"/>
          <w:numId w:val="2"/>
        </w:numPr>
        <w:spacing w:after="90" w:line="280"/>
      </w:pPr>
      <w:r>
        <w:rPr>
          <w:sz w:val="22"/>
          <w:szCs w:val="22"/>
        </w:rPr>
        <w:t xml:space="preserve">Oasis Technologies — "SAP FICO Career Opportunities and Salary Trends in 2026" (oasistechnologies.co.in)</w:t>
      </w:r>
    </w:p>
    <w:p>
      <w:pPr>
        <w:pStyle w:val="ListParagraph"/>
        <w:numPr>
          <w:ilvl w:val="0"/>
          <w:numId w:val="2"/>
        </w:numPr>
        <w:spacing w:after="90" w:line="280"/>
      </w:pPr>
      <w:r>
        <w:rPr>
          <w:sz w:val="22"/>
          <w:szCs w:val="22"/>
        </w:rPr>
        <w:t xml:space="preserve">EduBrights — "SAP FICO Career Opportunities and Jobs in India" (edubrights.in)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2026-09-10T10:44:46.272Z</dcterms:created>
  <dcterms:modified xsi:type="dcterms:W3CDTF">2026-09-10T10:44:46.284Z</dcterms:modified>
</cp:coreProperties>
</file>

<file path=docProps/custom.xml><?xml version="1.0" encoding="utf-8"?>
<Properties xmlns="http://schemas.openxmlformats.org/officeDocument/2006/custom-properties" xmlns:vt="http://schemas.openxmlformats.org/officeDocument/2006/docPropsVTypes"/>
</file>